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4C46E" w14:textId="5B5016A4" w:rsidR="00CB3468" w:rsidRDefault="0019567E" w:rsidP="001B1B55">
      <w:pPr>
        <w:spacing w:after="0"/>
        <w:jc w:val="center"/>
        <w:rPr>
          <w:b/>
          <w:bCs/>
          <w:sz w:val="28"/>
          <w:szCs w:val="28"/>
        </w:rPr>
      </w:pPr>
      <w:r w:rsidRPr="0019567E">
        <w:rPr>
          <w:b/>
          <w:bCs/>
          <w:sz w:val="28"/>
          <w:szCs w:val="28"/>
        </w:rPr>
        <w:t>III Congreso Internacional de Investigación Científica Multidisciplinaria</w:t>
      </w:r>
    </w:p>
    <w:p w14:paraId="180F9057" w14:textId="72167FA8" w:rsidR="0019567E" w:rsidRDefault="0019567E" w:rsidP="001B1B55">
      <w:pPr>
        <w:spacing w:after="0"/>
        <w:jc w:val="center"/>
        <w:rPr>
          <w:b/>
          <w:bCs/>
          <w:sz w:val="28"/>
          <w:szCs w:val="28"/>
          <w:lang w:val="es-AR"/>
        </w:rPr>
      </w:pPr>
      <w:r w:rsidRPr="0019567E">
        <w:rPr>
          <w:b/>
          <w:bCs/>
          <w:sz w:val="28"/>
          <w:szCs w:val="28"/>
          <w:lang w:val="es-AR"/>
        </w:rPr>
        <w:t>Grupo de Investigación UNAYPACHA</w:t>
      </w:r>
      <w:r>
        <w:rPr>
          <w:b/>
          <w:bCs/>
          <w:sz w:val="28"/>
          <w:szCs w:val="28"/>
          <w:lang w:val="es-AR"/>
        </w:rPr>
        <w:t xml:space="preserve"> </w:t>
      </w:r>
    </w:p>
    <w:p w14:paraId="6A2B5754" w14:textId="77777777" w:rsidR="0019567E" w:rsidRPr="0019567E" w:rsidRDefault="0019567E" w:rsidP="001B1B55">
      <w:pPr>
        <w:spacing w:after="0"/>
        <w:jc w:val="center"/>
        <w:rPr>
          <w:b/>
          <w:bCs/>
          <w:sz w:val="28"/>
          <w:szCs w:val="28"/>
          <w:lang w:val="es-AR"/>
        </w:rPr>
      </w:pPr>
      <w:r w:rsidRPr="0019567E">
        <w:rPr>
          <w:b/>
          <w:bCs/>
          <w:sz w:val="28"/>
          <w:szCs w:val="28"/>
          <w:lang w:val="es-AR"/>
        </w:rPr>
        <w:t>Universidad Nacional José María Arguedas</w:t>
      </w:r>
    </w:p>
    <w:p w14:paraId="65B15265" w14:textId="3006B64A" w:rsidR="001B1B55" w:rsidRPr="001B1B55" w:rsidRDefault="001B1B55" w:rsidP="001B1B55">
      <w:pPr>
        <w:jc w:val="center"/>
        <w:rPr>
          <w:lang w:val="es-AR"/>
        </w:rPr>
      </w:pPr>
      <w:r w:rsidRPr="001B1B55">
        <w:rPr>
          <w:lang w:val="es-AR"/>
        </w:rPr>
        <w:t xml:space="preserve">Eje 1 - </w:t>
      </w:r>
      <w:r w:rsidRPr="001B1B55">
        <w:rPr>
          <w:lang w:val="es-AR"/>
        </w:rPr>
        <w:t>Educación, innovación pedagógica y transformación de los aprendizajes</w:t>
      </w:r>
    </w:p>
    <w:p w14:paraId="337A3411" w14:textId="30AD1DDE" w:rsidR="001B1B55" w:rsidRPr="001B1B55" w:rsidRDefault="001B1B55" w:rsidP="001B1B55">
      <w:pPr>
        <w:spacing w:after="0" w:line="240" w:lineRule="auto"/>
        <w:jc w:val="center"/>
        <w:rPr>
          <w:rFonts w:ascii="Arial" w:eastAsia="Times New Roman" w:hAnsi="Arial" w:cs="Arial"/>
          <w:b/>
          <w:bCs/>
          <w:color w:val="000000"/>
          <w:kern w:val="0"/>
          <w:sz w:val="26"/>
          <w:szCs w:val="26"/>
          <w:lang w:val="es-AR" w:eastAsia="es-SV"/>
          <w14:ligatures w14:val="none"/>
        </w:rPr>
      </w:pPr>
      <w:r w:rsidRPr="001B1B55">
        <w:rPr>
          <w:rFonts w:ascii="Arial" w:eastAsia="Times New Roman" w:hAnsi="Arial" w:cs="Arial"/>
          <w:b/>
          <w:bCs/>
          <w:color w:val="000000"/>
          <w:kern w:val="0"/>
          <w:sz w:val="26"/>
          <w:szCs w:val="26"/>
          <w:lang w:val="es-AR" w:eastAsia="es-SV"/>
          <w14:ligatures w14:val="none"/>
        </w:rPr>
        <w:t>Financiamiento educativo y aprendizaje</w:t>
      </w:r>
      <w:r w:rsidRPr="001B1B55">
        <w:rPr>
          <w:rFonts w:ascii="Arial" w:eastAsia="Times New Roman" w:hAnsi="Arial" w:cs="Arial"/>
          <w:b/>
          <w:bCs/>
          <w:color w:val="000000"/>
          <w:kern w:val="0"/>
          <w:sz w:val="26"/>
          <w:szCs w:val="26"/>
          <w:lang w:val="es-AR" w:eastAsia="es-SV"/>
          <w14:ligatures w14:val="none"/>
        </w:rPr>
        <w:t>s</w:t>
      </w:r>
      <w:r w:rsidRPr="001B1B55">
        <w:rPr>
          <w:rFonts w:ascii="Arial" w:eastAsia="Times New Roman" w:hAnsi="Arial" w:cs="Arial"/>
          <w:b/>
          <w:bCs/>
          <w:color w:val="000000"/>
          <w:kern w:val="0"/>
          <w:sz w:val="26"/>
          <w:szCs w:val="26"/>
          <w:lang w:val="es-AR" w:eastAsia="es-SV"/>
          <w14:ligatures w14:val="none"/>
        </w:rPr>
        <w:t xml:space="preserve"> en Catamarca</w:t>
      </w:r>
      <w:r w:rsidRPr="001B1B55">
        <w:rPr>
          <w:rFonts w:ascii="Arial" w:eastAsia="Times New Roman" w:hAnsi="Arial" w:cs="Arial"/>
          <w:b/>
          <w:bCs/>
          <w:color w:val="000000"/>
          <w:kern w:val="0"/>
          <w:sz w:val="26"/>
          <w:szCs w:val="26"/>
          <w:lang w:val="es-AR" w:eastAsia="es-SV"/>
          <w14:ligatures w14:val="none"/>
        </w:rPr>
        <w:t xml:space="preserve"> -un estado subnacional de la Argentina-</w:t>
      </w:r>
      <w:r w:rsidRPr="001B1B55">
        <w:rPr>
          <w:rFonts w:ascii="Arial" w:eastAsia="Times New Roman" w:hAnsi="Arial" w:cs="Arial"/>
          <w:b/>
          <w:bCs/>
          <w:color w:val="000000"/>
          <w:kern w:val="0"/>
          <w:sz w:val="26"/>
          <w:szCs w:val="26"/>
          <w:lang w:val="es-AR" w:eastAsia="es-SV"/>
          <w14:ligatures w14:val="none"/>
        </w:rPr>
        <w:t xml:space="preserve"> </w:t>
      </w:r>
      <w:r w:rsidRPr="001B1B55">
        <w:rPr>
          <w:rFonts w:ascii="Arial" w:eastAsia="Times New Roman" w:hAnsi="Arial" w:cs="Arial"/>
          <w:b/>
          <w:bCs/>
          <w:color w:val="000000"/>
          <w:kern w:val="0"/>
          <w:sz w:val="26"/>
          <w:szCs w:val="26"/>
          <w:lang w:val="es-AR" w:eastAsia="es-SV"/>
          <w14:ligatures w14:val="none"/>
        </w:rPr>
        <w:t xml:space="preserve">entre </w:t>
      </w:r>
      <w:r w:rsidRPr="001B1B55">
        <w:rPr>
          <w:rFonts w:ascii="Arial" w:eastAsia="Times New Roman" w:hAnsi="Arial" w:cs="Arial"/>
          <w:b/>
          <w:bCs/>
          <w:color w:val="000000"/>
          <w:kern w:val="0"/>
          <w:sz w:val="26"/>
          <w:szCs w:val="26"/>
          <w:lang w:val="es-AR" w:eastAsia="es-SV"/>
          <w14:ligatures w14:val="none"/>
        </w:rPr>
        <w:t>2012</w:t>
      </w:r>
      <w:r w:rsidRPr="001B1B55">
        <w:rPr>
          <w:rFonts w:ascii="Arial" w:eastAsia="Times New Roman" w:hAnsi="Arial" w:cs="Arial"/>
          <w:b/>
          <w:bCs/>
          <w:color w:val="000000"/>
          <w:kern w:val="0"/>
          <w:sz w:val="26"/>
          <w:szCs w:val="26"/>
          <w:lang w:val="es-AR" w:eastAsia="es-SV"/>
          <w14:ligatures w14:val="none"/>
        </w:rPr>
        <w:t xml:space="preserve"> y </w:t>
      </w:r>
      <w:r w:rsidRPr="001B1B55">
        <w:rPr>
          <w:rFonts w:ascii="Arial" w:eastAsia="Times New Roman" w:hAnsi="Arial" w:cs="Arial"/>
          <w:b/>
          <w:bCs/>
          <w:color w:val="000000"/>
          <w:kern w:val="0"/>
          <w:sz w:val="26"/>
          <w:szCs w:val="26"/>
          <w:lang w:val="es-AR" w:eastAsia="es-SV"/>
          <w14:ligatures w14:val="none"/>
        </w:rPr>
        <w:t>2022: composición y productividad del gasto público provincial</w:t>
      </w:r>
    </w:p>
    <w:p w14:paraId="722C455E" w14:textId="77777777" w:rsidR="001B1B55" w:rsidRPr="001B1B55" w:rsidRDefault="001B1B55" w:rsidP="001B1B55">
      <w:pPr>
        <w:spacing w:after="0" w:line="240" w:lineRule="auto"/>
        <w:jc w:val="center"/>
        <w:rPr>
          <w:rFonts w:ascii="Arial" w:eastAsia="Times New Roman" w:hAnsi="Arial" w:cs="Arial"/>
          <w:b/>
          <w:bCs/>
          <w:color w:val="000000"/>
          <w:kern w:val="0"/>
          <w:sz w:val="28"/>
          <w:szCs w:val="28"/>
          <w:lang w:val="es-SV" w:eastAsia="es-SV"/>
          <w14:ligatures w14:val="none"/>
        </w:rPr>
      </w:pPr>
    </w:p>
    <w:p w14:paraId="1A2DCC57" w14:textId="408A900C" w:rsidR="001B1B55" w:rsidRPr="001B1B55" w:rsidRDefault="001B1B55" w:rsidP="001B1B55">
      <w:pPr>
        <w:spacing w:after="0" w:line="240" w:lineRule="auto"/>
        <w:jc w:val="center"/>
        <w:rPr>
          <w:rFonts w:ascii="Arial" w:eastAsia="Times New Roman" w:hAnsi="Arial" w:cs="Arial"/>
          <w:color w:val="000000"/>
          <w:kern w:val="0"/>
          <w:sz w:val="22"/>
          <w:szCs w:val="22"/>
          <w:lang w:val="es-SV" w:eastAsia="es-SV"/>
          <w14:ligatures w14:val="none"/>
        </w:rPr>
      </w:pPr>
      <w:r w:rsidRPr="001B1B55">
        <w:rPr>
          <w:rFonts w:ascii="Arial" w:eastAsia="Times New Roman" w:hAnsi="Arial" w:cs="Arial"/>
          <w:color w:val="000000"/>
          <w:kern w:val="0"/>
          <w:sz w:val="22"/>
          <w:szCs w:val="22"/>
          <w:lang w:val="es-SV" w:eastAsia="es-SV"/>
          <w14:ligatures w14:val="none"/>
        </w:rPr>
        <w:t xml:space="preserve">Mg. Lic. Mario Alberto Perna </w:t>
      </w:r>
      <w:r w:rsidRPr="001B1B55">
        <w:rPr>
          <w:rFonts w:ascii="Arial" w:eastAsia="Times New Roman" w:hAnsi="Arial" w:cs="Arial"/>
          <w:color w:val="000000"/>
          <w:kern w:val="0"/>
          <w:sz w:val="22"/>
          <w:szCs w:val="22"/>
          <w:vertAlign w:val="superscript"/>
          <w:lang w:val="es-SV" w:eastAsia="es-SV"/>
          <w14:ligatures w14:val="none"/>
        </w:rPr>
        <w:footnoteReference w:id="1"/>
      </w:r>
    </w:p>
    <w:p w14:paraId="60AB3682" w14:textId="77777777" w:rsidR="001B1B55" w:rsidRPr="001B1B55" w:rsidRDefault="001B1B55" w:rsidP="001B1B55">
      <w:pPr>
        <w:spacing w:after="0" w:line="240" w:lineRule="auto"/>
        <w:jc w:val="center"/>
        <w:rPr>
          <w:rFonts w:ascii="Times New Roman" w:eastAsia="Times New Roman" w:hAnsi="Times New Roman" w:cs="Times New Roman"/>
          <w:kern w:val="0"/>
          <w:lang w:val="es-SV" w:eastAsia="es-SV"/>
          <w14:ligatures w14:val="none"/>
        </w:rPr>
      </w:pPr>
      <w:r w:rsidRPr="001B1B55">
        <w:rPr>
          <w:rFonts w:ascii="Arial" w:eastAsia="Times New Roman" w:hAnsi="Arial" w:cs="Arial"/>
          <w:b/>
          <w:bCs/>
          <w:color w:val="000000"/>
          <w:kern w:val="0"/>
          <w:sz w:val="22"/>
          <w:szCs w:val="22"/>
          <w:lang w:val="es-SV" w:eastAsia="es-SV"/>
          <w14:ligatures w14:val="none"/>
        </w:rPr>
        <w:t>Resumen</w:t>
      </w:r>
    </w:p>
    <w:p w14:paraId="2356F910" w14:textId="3E4A96D5" w:rsidR="001B1B55" w:rsidRPr="001B1B55" w:rsidRDefault="001B1B55" w:rsidP="001B1B55">
      <w:pPr>
        <w:spacing w:after="0" w:line="240" w:lineRule="auto"/>
        <w:jc w:val="both"/>
        <w:rPr>
          <w:rFonts w:ascii="Arial" w:eastAsia="Times New Roman" w:hAnsi="Arial" w:cs="Arial"/>
          <w:color w:val="000000"/>
          <w:kern w:val="0"/>
          <w:sz w:val="20"/>
          <w:szCs w:val="20"/>
          <w:lang w:val="es-AR" w:eastAsia="es-SV"/>
          <w14:ligatures w14:val="none"/>
        </w:rPr>
      </w:pPr>
      <w:r w:rsidRPr="001B1B55">
        <w:rPr>
          <w:rFonts w:ascii="Arial" w:eastAsia="Times New Roman" w:hAnsi="Arial" w:cs="Arial"/>
          <w:color w:val="000000"/>
          <w:kern w:val="0"/>
          <w:sz w:val="20"/>
          <w:szCs w:val="20"/>
          <w:lang w:val="es-AR" w:eastAsia="es-SV"/>
          <w14:ligatures w14:val="none"/>
        </w:rPr>
        <w:t xml:space="preserve">En el marco del P.I.D.I. III -Proyecto de Investigación y Desarrollo Interdisciplinario </w:t>
      </w:r>
      <w:bookmarkStart w:id="0" w:name="_Hlk239686391"/>
      <w:r w:rsidRPr="001B1B55">
        <w:rPr>
          <w:rFonts w:ascii="Arial" w:eastAsia="Times New Roman" w:hAnsi="Arial" w:cs="Arial"/>
          <w:color w:val="000000"/>
          <w:kern w:val="0"/>
          <w:sz w:val="20"/>
          <w:szCs w:val="20"/>
          <w:lang w:val="es-AR" w:eastAsia="es-SV"/>
          <w14:ligatures w14:val="none"/>
        </w:rPr>
        <w:t xml:space="preserve">Cod S.P.U Nº 02/0379 para el bienio 2026/2027 </w:t>
      </w:r>
      <w:bookmarkEnd w:id="0"/>
      <w:r w:rsidRPr="001B1B55">
        <w:rPr>
          <w:rFonts w:ascii="Arial" w:eastAsia="Times New Roman" w:hAnsi="Arial" w:cs="Arial"/>
          <w:color w:val="000000"/>
          <w:kern w:val="0"/>
          <w:sz w:val="20"/>
          <w:szCs w:val="20"/>
          <w:lang w:val="es-AR" w:eastAsia="es-SV"/>
          <w14:ligatures w14:val="none"/>
        </w:rPr>
        <w:t xml:space="preserve">aprobado por la Universidad Nacional de Catamarca, partimos de la premisa que la relación entre el financiamiento educativo y los resultados de aprendizaje constituye uno de los debates más relevantes de la economía de la educación y de la gestión pública contemporánea. </w:t>
      </w:r>
    </w:p>
    <w:p w14:paraId="5A9D9A80" w14:textId="77777777" w:rsidR="001B1B55" w:rsidRPr="001B1B55" w:rsidRDefault="001B1B55" w:rsidP="001B1B55">
      <w:pPr>
        <w:spacing w:after="0" w:line="240" w:lineRule="auto"/>
        <w:jc w:val="both"/>
        <w:rPr>
          <w:rFonts w:ascii="Arial" w:eastAsia="Times New Roman" w:hAnsi="Arial" w:cs="Arial"/>
          <w:color w:val="000000"/>
          <w:kern w:val="0"/>
          <w:sz w:val="20"/>
          <w:szCs w:val="20"/>
          <w:lang w:val="es-AR" w:eastAsia="es-SV"/>
          <w14:ligatures w14:val="none"/>
        </w:rPr>
      </w:pPr>
      <w:r w:rsidRPr="001B1B55">
        <w:rPr>
          <w:rFonts w:ascii="Arial" w:eastAsia="Times New Roman" w:hAnsi="Arial" w:cs="Arial"/>
          <w:color w:val="000000"/>
          <w:kern w:val="0"/>
          <w:sz w:val="20"/>
          <w:szCs w:val="20"/>
          <w:lang w:val="es-AR" w:eastAsia="es-SV"/>
          <w14:ligatures w14:val="none"/>
        </w:rPr>
        <w:t>Si bien la evidencia internacional muestra que el incremento del gasto resulta una condición necesaria para mejorar la calidad educativa, también indica que la magnitud de los recursos, por sí sola, no explica las diferencias observadas entre sistemas educativos. En este contexto, la presente investigación propone analizar la productividad del gasto público educativo desde una perspectiva relacional, incorporando como variables explicativas la estructura del financiamiento, las capacidades estatales y los procesos de implementación de las políticas públicas.</w:t>
      </w:r>
    </w:p>
    <w:p w14:paraId="6B3D0979" w14:textId="77777777" w:rsidR="001B1B55" w:rsidRPr="001B1B55" w:rsidRDefault="001B1B55" w:rsidP="001B1B55">
      <w:pPr>
        <w:spacing w:after="0" w:line="240" w:lineRule="auto"/>
        <w:jc w:val="both"/>
        <w:rPr>
          <w:rFonts w:ascii="Arial" w:eastAsia="Times New Roman" w:hAnsi="Arial" w:cs="Arial"/>
          <w:color w:val="000000"/>
          <w:kern w:val="0"/>
          <w:sz w:val="20"/>
          <w:szCs w:val="20"/>
          <w:lang w:val="es-AR" w:eastAsia="es-SV"/>
          <w14:ligatures w14:val="none"/>
        </w:rPr>
      </w:pPr>
      <w:r w:rsidRPr="001B1B55">
        <w:rPr>
          <w:rFonts w:ascii="Arial" w:eastAsia="Times New Roman" w:hAnsi="Arial" w:cs="Arial"/>
          <w:color w:val="000000"/>
          <w:kern w:val="0"/>
          <w:sz w:val="20"/>
          <w:szCs w:val="20"/>
          <w:lang w:val="es-AR" w:eastAsia="es-SV"/>
          <w14:ligatures w14:val="none"/>
        </w:rPr>
        <w:t>El estudio adopta como caso de análisis la provincia de Catamarca, un estado subnacional de la Replica Argentina,  durante el período 2012–2022. Su objetivo general consiste en explicar cómo se relacionan el volumen y la composición del financiamiento educativo provincial con la evolución de los resultados de aprendizaje y las trayectorias escolares en los niveles obligatorios de Catamarca durante 2012–2022, atendiendo a las capacidades estatales y a los procesos de implementación que condicionan el carácter productivo del gasto.</w:t>
      </w:r>
    </w:p>
    <w:p w14:paraId="1FA15328" w14:textId="77777777" w:rsidR="001B1B55" w:rsidRPr="001B1B55" w:rsidRDefault="001B1B55" w:rsidP="001B1B55">
      <w:pPr>
        <w:spacing w:after="0" w:line="240" w:lineRule="auto"/>
        <w:jc w:val="both"/>
        <w:rPr>
          <w:rFonts w:ascii="Arial" w:eastAsia="Times New Roman" w:hAnsi="Arial" w:cs="Arial"/>
          <w:color w:val="000000"/>
          <w:kern w:val="0"/>
          <w:sz w:val="20"/>
          <w:szCs w:val="20"/>
          <w:lang w:val="es-AR" w:eastAsia="es-SV"/>
          <w14:ligatures w14:val="none"/>
        </w:rPr>
      </w:pPr>
      <w:r w:rsidRPr="001B1B55">
        <w:rPr>
          <w:rFonts w:ascii="Arial" w:eastAsia="Times New Roman" w:hAnsi="Arial" w:cs="Arial"/>
          <w:color w:val="000000"/>
          <w:kern w:val="0"/>
          <w:sz w:val="20"/>
          <w:szCs w:val="20"/>
          <w:lang w:val="es-AR" w:eastAsia="es-SV"/>
          <w14:ligatures w14:val="none"/>
        </w:rPr>
        <w:t xml:space="preserve">Desde el punto de vista teórico, la investigación integra aportes de la economía pública, la economía de la educación, los estudios sobre capacidades estatales y la literatura sobre implementación de políticas públicas. Bajo este enfoque, la productividad del gasto no se concibe como una relación mecánica entre recursos invertidos y resultados obtenidos, sino como una categoría analítica que expresa la capacidad institucional del Estado para convertir recursos financieros en bienes públicos socialmente valiosos. Esta perspectiva reconoce que las capacidades estatales constituyen el principal mecanismo mediador entre el financiamiento y el desempeño educativo. </w:t>
      </w:r>
    </w:p>
    <w:p w14:paraId="0AFFE41A" w14:textId="77777777" w:rsidR="001B1B55" w:rsidRPr="001B1B55" w:rsidRDefault="001B1B55" w:rsidP="001B1B55">
      <w:pPr>
        <w:spacing w:after="0" w:line="240" w:lineRule="auto"/>
        <w:jc w:val="both"/>
        <w:rPr>
          <w:rFonts w:ascii="Arial" w:eastAsia="Times New Roman" w:hAnsi="Arial" w:cs="Arial"/>
          <w:color w:val="000000"/>
          <w:kern w:val="0"/>
          <w:sz w:val="20"/>
          <w:szCs w:val="20"/>
          <w:lang w:val="es-AR" w:eastAsia="es-SV"/>
          <w14:ligatures w14:val="none"/>
        </w:rPr>
      </w:pPr>
      <w:r w:rsidRPr="001B1B55">
        <w:rPr>
          <w:rFonts w:ascii="Arial" w:eastAsia="Times New Roman" w:hAnsi="Arial" w:cs="Arial"/>
          <w:color w:val="000000"/>
          <w:kern w:val="0"/>
          <w:sz w:val="20"/>
          <w:szCs w:val="20"/>
          <w:lang w:val="es-AR" w:eastAsia="es-SV"/>
          <w14:ligatures w14:val="none"/>
        </w:rPr>
        <w:t>Metodológicamente, se desarrolla un estudio de caso con enfoque mixto y componente etnográfico. La estrategia combina el análisis de información presupuestaria, financiera y educativa con entrevistas semiestructuradas a funcionarios, supervisores, directivos y docentes, permitiendo integrar evidencia cuantitativa y cualitativa para reconstruir los mecanismos institucionales que vinculan el gasto con los resultados educativos.</w:t>
      </w:r>
    </w:p>
    <w:p w14:paraId="15DE6043" w14:textId="77777777" w:rsidR="001B1B55" w:rsidRPr="001B1B55" w:rsidRDefault="001B1B55" w:rsidP="001B1B55">
      <w:pPr>
        <w:spacing w:after="0" w:line="240" w:lineRule="auto"/>
        <w:jc w:val="both"/>
        <w:rPr>
          <w:rFonts w:ascii="Arial" w:eastAsia="Times New Roman" w:hAnsi="Arial" w:cs="Arial"/>
          <w:color w:val="000000"/>
          <w:kern w:val="0"/>
          <w:sz w:val="20"/>
          <w:szCs w:val="20"/>
          <w:lang w:val="es-AR" w:eastAsia="es-SV"/>
          <w14:ligatures w14:val="none"/>
        </w:rPr>
      </w:pPr>
      <w:r w:rsidRPr="001B1B55">
        <w:rPr>
          <w:rFonts w:ascii="Arial" w:eastAsia="Times New Roman" w:hAnsi="Arial" w:cs="Arial"/>
          <w:color w:val="000000"/>
          <w:kern w:val="0"/>
          <w:sz w:val="20"/>
          <w:szCs w:val="20"/>
          <w:lang w:val="es-AR" w:eastAsia="es-SV"/>
          <w14:ligatures w14:val="none"/>
        </w:rPr>
        <w:t>Se espera que la investigación contribuya a ampliar la comprensión de la productividad del gasto público educativo, aportando evidencia empírica sobre las mediaciones institucionales que explican la efectividad de las políticas educativas en contextos subnacionales. Asimismo, procura ofrecer insumos relevantes para el diseño de políticas públicas orientadas a fortalecer las capacidades estatales y mejorar la calidad, equidad y eficiencia de la inversión educativa en sistemas educativos descentralizados.</w:t>
      </w:r>
    </w:p>
    <w:p w14:paraId="0F1FA144" w14:textId="77777777" w:rsidR="001B1B55" w:rsidRPr="001B1B55" w:rsidRDefault="001B1B55" w:rsidP="001B1B55">
      <w:pPr>
        <w:spacing w:after="0" w:line="240" w:lineRule="auto"/>
        <w:jc w:val="both"/>
        <w:rPr>
          <w:rFonts w:ascii="Arial" w:eastAsia="Times New Roman" w:hAnsi="Arial" w:cs="Arial"/>
          <w:color w:val="000000"/>
          <w:kern w:val="0"/>
          <w:sz w:val="20"/>
          <w:szCs w:val="20"/>
          <w:lang w:val="es-SV" w:eastAsia="es-SV"/>
          <w14:ligatures w14:val="none"/>
        </w:rPr>
      </w:pPr>
    </w:p>
    <w:p w14:paraId="79D6EF2A" w14:textId="1EC4E724" w:rsidR="001B1B55" w:rsidRPr="001B1B55" w:rsidRDefault="001B1B55" w:rsidP="001B1B55">
      <w:pPr>
        <w:spacing w:after="0" w:line="240" w:lineRule="auto"/>
        <w:jc w:val="both"/>
        <w:rPr>
          <w:rFonts w:ascii="Arial" w:eastAsia="Times New Roman" w:hAnsi="Arial" w:cs="Arial"/>
          <w:color w:val="000000"/>
          <w:kern w:val="0"/>
          <w:sz w:val="20"/>
          <w:szCs w:val="20"/>
          <w:lang w:val="es-AR" w:eastAsia="es-SV"/>
          <w14:ligatures w14:val="none"/>
        </w:rPr>
      </w:pPr>
      <w:r w:rsidRPr="001B1B55">
        <w:rPr>
          <w:rFonts w:ascii="Arial" w:eastAsia="Times New Roman" w:hAnsi="Arial" w:cs="Arial"/>
          <w:b/>
          <w:bCs/>
          <w:color w:val="000000"/>
          <w:kern w:val="0"/>
          <w:sz w:val="20"/>
          <w:szCs w:val="20"/>
          <w:lang w:val="es-SV" w:eastAsia="es-SV"/>
          <w14:ligatures w14:val="none"/>
        </w:rPr>
        <w:t>Palabras claves</w:t>
      </w:r>
      <w:r w:rsidRPr="001B1B55">
        <w:rPr>
          <w:rFonts w:ascii="Arial" w:eastAsia="Times New Roman" w:hAnsi="Arial" w:cs="Arial"/>
          <w:color w:val="000000"/>
          <w:kern w:val="0"/>
          <w:sz w:val="20"/>
          <w:szCs w:val="20"/>
          <w:lang w:val="es-SV" w:eastAsia="es-SV"/>
          <w14:ligatures w14:val="none"/>
        </w:rPr>
        <w:t xml:space="preserve">: </w:t>
      </w:r>
      <w:r w:rsidRPr="001B1B55">
        <w:rPr>
          <w:rFonts w:ascii="Arial" w:eastAsia="Times New Roman" w:hAnsi="Arial" w:cs="Arial"/>
          <w:color w:val="000000"/>
          <w:kern w:val="0"/>
          <w:sz w:val="20"/>
          <w:szCs w:val="20"/>
          <w:lang w:val="es-AR" w:eastAsia="es-SV"/>
          <w14:ligatures w14:val="none"/>
        </w:rPr>
        <w:t>Capacidades estatales; Financiamiento educativo; Productividad del gasto público</w:t>
      </w:r>
    </w:p>
    <w:p w14:paraId="4C100202" w14:textId="77777777" w:rsidR="001B1B55" w:rsidRPr="001B1B55" w:rsidRDefault="001B1B55" w:rsidP="001B1B55">
      <w:pPr>
        <w:spacing w:after="0" w:line="240" w:lineRule="auto"/>
        <w:jc w:val="center"/>
        <w:rPr>
          <w:rFonts w:ascii="Arial" w:eastAsia="Times New Roman" w:hAnsi="Arial" w:cs="Arial"/>
          <w:color w:val="000000"/>
          <w:kern w:val="0"/>
          <w:sz w:val="22"/>
          <w:szCs w:val="22"/>
          <w:lang w:val="es-SV" w:eastAsia="es-SV"/>
          <w14:ligatures w14:val="none"/>
        </w:rPr>
      </w:pPr>
    </w:p>
    <w:p w14:paraId="1D29F04E" w14:textId="77777777" w:rsidR="001B1B55" w:rsidRPr="001B1B55" w:rsidRDefault="001B1B55" w:rsidP="001B1B55">
      <w:pPr>
        <w:spacing w:after="0" w:line="240" w:lineRule="auto"/>
        <w:jc w:val="both"/>
        <w:rPr>
          <w:rFonts w:ascii="Arial" w:eastAsia="Times New Roman" w:hAnsi="Arial" w:cs="Arial"/>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1. Introducción y justificación</w:t>
      </w:r>
    </w:p>
    <w:p w14:paraId="6CF49130"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financiamiento educativo constituye una dimensión central de la responsabilidad estatal de garantizar el derecho a la educación. En la Argentina, la Ley de Educación Nacional N.º 26.206 define la educación y el conocimiento como un bien público y un derecho personal y social, y atribuye al Estado nacional, las provincias y la Ciudad Autónoma de Buenos Aires la responsabilidad principal e indelegable de asegurar una educación integral, permanente y de calidad. En ese marco federal, la planificación, organización, supervisión y financiación del sistema son responsabilidades concurrentes y concertadas, mientras que las provincias administran la mayor parte de los establecimientos de los niveles obligatorios y adoptan decisiones presupuestarias, organizacionales y pedagógicas decisivas para las condiciones de enseñanza (Ley 26.206, 2006).</w:t>
      </w:r>
    </w:p>
    <w:p w14:paraId="7D72C8C2"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Ley de Financiamiento Educativo N.º 26.075 profundizó esa vinculación al asociar el incremento de la inversión pública con la igualdad de oportunidades de aprendizaje, la mejora de la enseñanza y la eficiencia en el uso de los recursos. Al incorporar criterios como matrícula, ruralidad, gasto por alumno, sobreedad, repitencia y desgranamiento, la norma mostró que el financiamiento no puede evaluarse únicamente por su magnitud agregada (Ley 26.075, 2005).</w:t>
      </w:r>
    </w:p>
    <w:p w14:paraId="378CB117"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evidencia internacional coincide en que disponer de mayores recursos es una condición necesaria, pero no suficiente, para mejorar los aprendizajes. Sistemas con niveles semejantes de gasto pueden obtener resultados diferentes según la composición y distribución de las erogaciones, las capacidades institucionales y las modalidades de implementación de las políticas (Banco Mundial y UNESCO, 2023). En el ámbito regional, ello exige articular las decisiones educativas y fiscales mediante esquemas de financiamiento sostenibles, equitativos y eficientes (CEPAL y UNICEF, 2025).</w:t>
      </w:r>
    </w:p>
    <w:p w14:paraId="2B72878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Esta perspectiva obliga a superar tanto la identificación automática entre mayor gasto y mejores resultados como la conclusión inversa de que la ausencia de mejoras inmediatas prueba su ineficiencia. El carácter productivo del gasto no surge de una correspondencia mecánica entre recursos y puntajes, sino del proceso que vincula el volumen, la composición, la distribución y la continuidad del financiamiento con las capacidades estatales, las condiciones de enseñanza, las trayectorias escolares y los resultados de aprendizaje.</w:t>
      </w:r>
    </w:p>
    <w:p w14:paraId="63C5835B"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Las evaluaciones estandarizadas aportan información relevante, aunque parcial y metodológicamente condicionada. Su interpretación requiere considerar la cobertura y comparabilidad de los operativos, los cambios en los instrumentos, las poblaciones evaluadas y las diferencias territoriales y de gestión. Por ello, esta investigación utiliza sus resultados como indicadores de desempeño y los complementa con información sobre matrícula, promoción, repitencia, sobreedad, abandono, egreso y condiciones institucionales para la enseñanza.</w:t>
      </w:r>
    </w:p>
    <w:p w14:paraId="2B4D20F0"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provincia de Catamarca durante el período 2012–2022 constituye una unidad de análisis pertinente para examinar estas relaciones en escala subnacional. El año inicial permite estudiar el sistema luego de la etapa principal de adecuación de su estructura a los niveles establecidos por la legislación nacional. La década seleccionada comprende diversos contextos fiscales y macroeconómicos e incluye la disrupción provocada por la pandemia de COVID-19, que alteró la presencialidad, las trayectorias, las necesidades de infraestructura y conectividad y la producción de información educativa. En consecuencia, las variaciones deberán interpretarse distinguiendo tendencias estructurales, alteraciones coyunturales y procesos iniciales de recuperación.</w:t>
      </w:r>
    </w:p>
    <w:p w14:paraId="48F559B9"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Aunque existen estudios nacionales y regionales sobre inversión educativa, la revisión preliminar de antecedentes realizada por el equipo no identificó, para Catamarca, </w:t>
      </w:r>
      <w:r w:rsidRPr="001B1B55">
        <w:rPr>
          <w:rFonts w:ascii="Arial" w:eastAsia="Times New Roman" w:hAnsi="Arial" w:cs="Arial"/>
          <w:color w:val="000000"/>
          <w:kern w:val="0"/>
          <w:sz w:val="22"/>
          <w:szCs w:val="22"/>
          <w:lang w:val="es-AR" w:eastAsia="es-SV"/>
          <w14:ligatures w14:val="none"/>
        </w:rPr>
        <w:lastRenderedPageBreak/>
        <w:t>estudios que integren simultáneamente estas dimensiones sobre la evolución y composición del financiamiento, los resultados de aprendizaje, las trayectorias escolares y las condiciones institucionales de implementación. El análisis situado permite reconstruir los mecanismos mediante los cuales la jurisdicción transforma -o encuentra dificultades para transformar- recursos fiscales en capacidades organizacionales, condiciones educativas y resultados socialmente valiosos, atendiendo a sus particularidades históricas, territoriales e institucionales.</w:t>
      </w:r>
    </w:p>
    <w:p w14:paraId="077FF370"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Con ese propósito se desarrolla el Proyecto de Investigación y Desarrollo Interdisciplinario PIDI III N.º 02/0379, “Financiamiento educativo, composición del gasto y resultados de aprendizaje en los niveles obligatorios del Sistema Educativo de Catamarca (2012–2022): un análisis del carácter productivo del gasto público provincial”, aprobado por la Universidad Nacional de Catamarca para el bienio 2026–2027. El equipo, de reciente conformación e integrado por docentes-investigadores, profesionales y estudiantes que realizan sus primeras experiencias sistemáticas de investigación, articula la producción de conocimiento con la formación de recursos humanos.</w:t>
      </w:r>
    </w:p>
    <w:p w14:paraId="52AAD25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Notificada la aprobación en marzo de 2026, la etapa inicial se concentró en la integración del equipo, la revisión del problema, la distribución de tareas y la construcción de criterios comunes. Su desarrollo estuvo condicionado por factores internos asociados con el calendario académico y por factores externos vinculados con cambios de autoridades y circuitos administrativos en las áreas provinciales de educación y planificación, que demoraron el acceso a determinadas fuentes. Estas circunstancias exigieron reordenar las actividades sin modificar los objetivos del proyecto.</w:t>
      </w:r>
    </w:p>
    <w:p w14:paraId="7E5579AC"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Como avance conceptual e instrumental se elaboró una bitácora de siete dimensiones y cincuenta y seis indicadores potenciales, acompañada por una ficha que registra para cada indicador su definición, fórmula, unidad de medida, desagregaciones, fuente, periodicidad, cobertura, limitaciones y utilidad analítica. Este dispositivo permite documentar discontinuidades y problemas de comparabilidad antes de construir las series y realizar asociaciones.</w:t>
      </w:r>
    </w:p>
    <w:p w14:paraId="3029C2A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ponencia expone el problema de investigación, fundamenta la perspectiva relacional adoptada y presenta los avances conceptuales, metodológicos y operativos de esta etapa. No ofrece todavía resultados empíricos concluyentes ni relaciones causales entre financiamiento y aprendizaje; procura mostrar cómo se está construyendo un dispositivo capaz de integrar información financiera, educativa e institucional. Su relevancia reside en aportar bases rigurosas para una discusión que no se limite a cuánto se destina a educación, sino que examine cómo se distribuyen los recursos, mediante qué capacidades se implementan las políticas y en qué condiciones pueden traducirse en experiencias educativas más equitativas.</w:t>
      </w:r>
    </w:p>
    <w:p w14:paraId="4D1D749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7E0E51E4" w14:textId="77777777" w:rsidR="001B1B55" w:rsidRPr="001B1B55" w:rsidRDefault="001B1B55" w:rsidP="001B1B55">
      <w:pPr>
        <w:spacing w:after="0" w:line="240" w:lineRule="auto"/>
        <w:jc w:val="both"/>
        <w:rPr>
          <w:rFonts w:ascii="Arial" w:eastAsia="Times New Roman" w:hAnsi="Arial" w:cs="Arial"/>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2. Problema de investigación y relevancia del caso</w:t>
      </w:r>
    </w:p>
    <w:p w14:paraId="066888E6"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relación entre financiamiento educativo y resultados de aprendizaje constituye un problema complejo por la diversidad de factores intervinientes y por las dificultades metodológicas de su análisis. El debate público suele reducirla a una disyuntiva entre insuficiencia de recursos e ineficiencia en su utilización. Esa formulación resulta limitada porque concentra la atención en el monto global del presupuesto sin examinar qué se financia, cómo se distribuyen y ejecutan los recursos ni mediante qué capacidades y procesos pueden traducirse en condiciones de enseñanza y resultados educativos.</w:t>
      </w:r>
    </w:p>
    <w:p w14:paraId="735896C6"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El primer desafío consiste en reconstruir la estructura del financiamiento. Jurisdicciones con niveles semejantes de gasto por estudiante pueden asignar proporciones diferentes a remuneraciones, infraestructura, equipamiento, formación docente, materiales, conectividad o programas específicos. A su vez, un incremento nominal del presupuesto no implica necesariamente un aumento real, especialmente en contextos inflacionarios. El análisis debe distinguir, por ello, entre valores nominales y constantes, crédito </w:t>
      </w:r>
      <w:r w:rsidRPr="001B1B55">
        <w:rPr>
          <w:rFonts w:ascii="Arial" w:eastAsia="Times New Roman" w:hAnsi="Arial" w:cs="Arial"/>
          <w:color w:val="000000"/>
          <w:kern w:val="0"/>
          <w:sz w:val="22"/>
          <w:szCs w:val="22"/>
          <w:lang w:val="es-AR" w:eastAsia="es-SV"/>
          <w14:ligatures w14:val="none"/>
        </w:rPr>
        <w:lastRenderedPageBreak/>
        <w:t>presupuestario y ejecución efectiva, recursos provinciales y transferencias nacionales, y distribución del gasto por objeto, finalidad, nivel educativo y estudiante.</w:t>
      </w:r>
    </w:p>
    <w:p w14:paraId="289D251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segundo desafío concierne a los resultados educativos. Los operativos ONE y Aprender no mantuvieron idéntica periodicidad, cobertura, áreas evaluadas ni criterios metodológicos durante todo el período. Aprender produce información diagnóstica sobre determinados aprendizajes y sobre algunas de las condiciones sociodemográficas e institucionales en las que estos se desarrollan; constituye, por tanto, una fuente relevante pero parcial para evaluar el desempeño del sistema (Ministerio de Educación de la Nación, s. f.). Su utilización exige identificar los años comparables, considerar la participación de establecimientos y estudiantes y distinguir cambios reales de aquellos asociados con modificaciones en los instrumentos, la cobertura o las poblaciones evaluadas.</w:t>
      </w:r>
    </w:p>
    <w:p w14:paraId="2FA594B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Los puntajes tampoco agotan los posibles efectos del financiamiento. Una política puede mejorar la cobertura, la permanencia, la promoción, el egreso, la infraestructura o las condiciones institucionales sin producir variaciones inmediatas en una evaluación. Inversamente, una mejora en los aprendizajes no puede atribuirse automáticamente a un incremento contemporáneo del gasto, debido a la intervención de factores socioeconómicos, institucionales, pedagógicos y territoriales y a la existencia de rezagos entre la asignación de recursos y sus efectos. Por esta razón, los resultados de las pruebas deben analizarse junto con indicadores de trayectoria y de condiciones para la enseñanza.</w:t>
      </w:r>
    </w:p>
    <w:p w14:paraId="7E4604E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función de estas consideraciones, el problema central consiste en explicar cómo se relacionan el volumen y la composición del financiamiento educativo provincial con la evolución de los resultados de aprendizaje y las trayectorias escolares en los niveles obligatorios del Sistema Educativo de Catamarca durante el período 2012–2022, atendiendo a las mediaciones institucionales que intervienen en la transformación de los recursos públicos en resultados educativos. La pregunta general se formula en los siguientes términos:</w:t>
      </w:r>
    </w:p>
    <w:p w14:paraId="5F36A0A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¿Cómo se relacionan el volumen y la composición del financiamiento educativo provincial destinado a los niveles obligatorios del Sistema Educativo de Catamarca durante el período 2012–2022 con la evolución de los resultados de aprendizaje y las trayectorias escolares, y en qué condiciones institucionales puede caracterizarse ese gasto como productivo?</w:t>
      </w:r>
    </w:p>
    <w:p w14:paraId="4DBF04C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pregunta articula cuatro planos: la evolución real, las fuentes y la composición del financiamiento; el comportamiento de los aprendizajes y las trayectorias, con sus posibilidades y límites de comparación; los patrones de correspondencia, convergencia o divergencia entre ambas dimensiones; y las capacidades estatales que intervienen en la formulación, asignación, ejecución, seguimiento y evaluación de la política educativa. La proposición inicial sostiene que los efectos del financiamiento dependen de su suficiencia, composición, continuidad y distribución, así como de su articulación con capacidades institucionales de planificación e implementación. La productividad se concibe, en consecuencia, como una relación condicionada y multidimensional y no como un vínculo lineal, inmediato y uniforme.</w:t>
      </w:r>
    </w:p>
    <w:p w14:paraId="34284B9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elección de Catamarca responde, en primer lugar, a la centralidad de los gobiernos provinciales en la administración y financiación de la educación obligatoria. Esta escala permite observar la articulación entre recursos nacionales y jurisdiccionales, la definición de prioridades presupuestarias y la materialización de las decisiones en capacidades organizacionales y condiciones educativas. El año 2012 constituye, además, un punto de partida institucionalmente significativo: la Provincia adhirió a la Ley de Educación Nacional mediante la Ley Provincial N.º 5.302 y dispuso la transformación de su sistema, sustituyendo progresivamente la Educación General Básica y el nivel Polimodal por los niveles Inicial, Primario y Secundario (Ley Provincial 5.302, 2010; Decreto ECyT 55, </w:t>
      </w:r>
      <w:r w:rsidRPr="001B1B55">
        <w:rPr>
          <w:rFonts w:ascii="Arial" w:eastAsia="Times New Roman" w:hAnsi="Arial" w:cs="Arial"/>
          <w:color w:val="000000"/>
          <w:kern w:val="0"/>
          <w:sz w:val="22"/>
          <w:szCs w:val="22"/>
          <w:lang w:val="es-AR" w:eastAsia="es-SV"/>
          <w14:ligatures w14:val="none"/>
        </w:rPr>
        <w:lastRenderedPageBreak/>
        <w:t>2011). El recorte permite estudiar el financiamiento y el desempeño luego de la principal etapa de adecuación de esa estructura.</w:t>
      </w:r>
    </w:p>
    <w:p w14:paraId="08E9E51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período incluye distintos contextos fiscales y macroeconómicos, cambios en las relaciones financieras entre la Nación y las provincias, transformaciones de las políticas de evaluación y la disrupción de la pandemia de COVID-19. Sus efectos sobre la presencialidad, las estrategias de enseñanza, las trayectorias, la infraestructura, la conectividad y la producción de información impiden tratar 2012–2022 como una serie homogénea y exigen distinguir tendencias previas, alteraciones coyunturales y procesos iniciales de recuperación.</w:t>
      </w:r>
    </w:p>
    <w:p w14:paraId="10072E8E"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Las características territoriales y organizacionales de Catamarca también justifican un abordaje situado. La dispersión geográfica, la coexistencia de establecimientos urbanos y rurales, las desigualdades departamentales, la heterogeneidad de las trayectorias y el peso de la función educación en el presupuesto provincial configuran un escenario en el que la distribución de los recursos puede ser tan relevante como su volumen. Estas condiciones desaconsejan trasladar automáticamente relaciones observadas en otras jurisdicciones y requieren considerar los arreglos institucionales, las restricciones fiscales y las modalidades de gestión propias del caso.</w:t>
      </w:r>
    </w:p>
    <w:p w14:paraId="7E91A6B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relevancia científica reside en producir evidencia longitudinal sobre una escala subnacional escasamente estudiada mediante la integración de financiamiento, aprendizajes, trayectorias y capacidades institucionales. El estudio no procura una generalización estadística aplicable a todas las provincias, sino una comprensión analítica de los mecanismos y condiciones bajo los cuales el gasto puede adquirir carácter productivo.</w:t>
      </w:r>
    </w:p>
    <w:p w14:paraId="34B5D65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el plano político-institucional, la reconstrucción de cuánto se invierte, cuál es el origen de los recursos, cómo se distribuyen y ejecutan y qué continuidad presentan puede contribuir a identificar concentraciones, vacancias de inversión, discontinuidades y problemas de información, ofreciendo insumos para autoridades educativas y financieras, organismos de control, instituciones escolares y actores sociales. Su relevancia social deriva de concebir la educación como derecho y condición de inclusión. Interrogar la productividad del gasto no implica subordinarla a una lógica exclusivamente económica, sino examinar la capacidad estatal para convertir recursos públicos en oportunidades educativas efectivas, trayectorias sostenidas, aprendizajes relevantes y condiciones más equitativas.</w:t>
      </w:r>
    </w:p>
    <w:p w14:paraId="3EEC4D86"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0A66F4EF" w14:textId="77777777" w:rsidR="001B1B55" w:rsidRPr="001B1B55" w:rsidRDefault="001B1B55" w:rsidP="001B1B55">
      <w:pPr>
        <w:spacing w:after="0" w:line="240" w:lineRule="auto"/>
        <w:jc w:val="both"/>
        <w:rPr>
          <w:rFonts w:ascii="Arial" w:eastAsia="Times New Roman" w:hAnsi="Arial" w:cs="Arial"/>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3. Financiamiento educativo y productividad del gasto: marco conceptual</w:t>
      </w:r>
    </w:p>
    <w:p w14:paraId="2ACF33D7"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A los fines de esta investigación, el financiamiento educativo público se define como el conjunto de recursos fiscales efectivamente asignados y ejecutados para sostener el funcionamiento del sistema educativo y desarrollar las políticas destinadas al cumplimiento de sus objetivos. Esta definición comprende distintas dimensiones: el origen de los fondos, su magnitud nominal y real, su continuidad temporal, su distribución entre niveles y programas, su composición por objeto del gasto y su relación con la cantidad y las características de la población atendida. </w:t>
      </w:r>
    </w:p>
    <w:p w14:paraId="6A048FB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presupuesto educativo no constituye, por lo tanto, una variable meramente contable, sino una expresión material de las prioridades estatales y de las decisiones adoptadas respecto de qué componentes del sistema se busca sostener, ampliar o transformar.</w:t>
      </w:r>
    </w:p>
    <w:p w14:paraId="4C0ABD7E"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El análisis del financiamiento requiere diferenciar conceptos que suelen utilizarse indistintamente. La suficiencia remite a la disponibilidad de recursos adecuados para garantizar el funcionamiento del sistema y atender los objetivos educativos establecidos. La sostenibilidad refiere a la posibilidad de mantener ese esfuerzo financiero en el tiempo. La equidad considera la distribución de los recursos de acuerdo con necesidades educativas, sociales y territoriales diferentes. La eficacia expresa el grado de cumplimiento de los objetivos propuestos, mientras que la eficiencia relaciona los recursos utilizados con los productos o resultados alcanzados. </w:t>
      </w:r>
    </w:p>
    <w:p w14:paraId="53146C5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lastRenderedPageBreak/>
        <w:t>Las evaluaciones del gasto público educativo deben contemplar conjuntamente estas dimensiones, porque una asignación puede ser fiscalmente sostenible, pero insuficiente; suficiente en términos agregados, pero inequitativa en su distribución; o ejecutada en su totalidad, pero escasamente articulada con los propósitos de la política sectorial (Banco Mundial, 2017).</w:t>
      </w:r>
    </w:p>
    <w:p w14:paraId="518CBF6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Dentro del concepto de eficiencia corresponde distinguir, a su vez, una dimensión asignativa y otra técnica u operativa. La eficiencia asignativa se vincula con la distribución de los recursos entre usos alternativos y con su adecuación a las prioridades y necesidades del sistema. La eficiencia técnica refiere a la relación entre los recursos aplicados y los productos educativos generados. </w:t>
      </w:r>
    </w:p>
    <w:p w14:paraId="1F970FE2"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Sin embargo, su análisis en el sector público no puede limitarse a la minimización de costos, porque la educación persigue objetivos de universalidad, inclusión y equidad que no poseen equivalentes directos en una lógica de mercado. Una política que destina mayores recursos a poblaciones rurales, sectores socialmente desfavorecidos o estudiantes que requieren apoyos específicos puede presentar costos unitarios superiores y, al mismo tiempo, resultar socialmente más eficiente al reducir desigualdades y garantizar derechos.</w:t>
      </w:r>
    </w:p>
    <w:p w14:paraId="01491F8E"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composición del gasto adquiere, en este marco, tanta relevancia como su volumen. La educación es una actividad intensiva en trabajo y, por ello, las remuneraciones suelen representar una proporción elevada de los presupuestos sectoriales. Esa participación no constituye por sí misma un indicador de ineficiencia. Su interpretación exige considerar la distribución territorial y funcional del personal, la cobertura de cargos, la estabilidad de los equipos, la relación entre docentes y estudiantes, las condiciones salariales y la formación profesional. </w:t>
      </w:r>
    </w:p>
    <w:p w14:paraId="6D4C44E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De manera semejante, el gasto en infraestructura, equipamiento o tecnología no puede calificarse automáticamente como productivo por su carácter de inversión física: sus efectos dependen de la pertinencia de las adquisiciones, de su efectiva utilización, del mantenimiento posterior y de su articulación con prácticas institucionales y pedagógicas.</w:t>
      </w:r>
    </w:p>
    <w:p w14:paraId="21FB51B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Estas distinciones se inscriben en un debate más amplio de la economía de la educación. Una parte de la literatura basada en funciones de producción educativa cuestionó la existencia de una asociación sistemática entre el aumento de insumos convencionales y la mejora de los aprendizajes, destacando la heterogeneidad de los resultados y la importancia de los incentivos y de las formas de organización escolar (Hanushek, 2003). </w:t>
      </w:r>
    </w:p>
    <w:p w14:paraId="417AC71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Estudios posteriores, apoyados en diseños causales y en reformas de los sistemas de financiamiento, encontraron que incrementos sostenidos y adecuadamente distribuidos del gasto por estudiante pueden producir efectos positivos sobre la escolaridad, los ingresos futuros y la reducción de la pobreza, especialmente entre estudiantes provenientes de hogares de menores recursos (Jackson et al., 2016). </w:t>
      </w:r>
    </w:p>
    <w:p w14:paraId="1E350052"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Lejos de clausurar la discusión, estos resultados muestran que la pregunta relevante no consiste únicamente en establecer si el gasto importa, sino en explicar cuánto, durante cuánto tiempo, en qué componentes, para qué poblaciones y en qué condiciones institucionales produce determinados efectos.</w:t>
      </w:r>
    </w:p>
    <w:p w14:paraId="725A156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noción de productividad adoptada en este trabajo se construye a partir de esa controversia, pero no se identifica plenamente con una función de producción ni con la estimación de una frontera de eficiencia. Se entiende por productividad del gasto educativo la capacidad históricamente situada del sistema estatal para transformar recursos financieros -según su volumen, composición, distribución y continuidad- en condiciones institucionales adecuadas, trayectorias escolares sostenidas y resultados de aprendizaje verificables y equitativos. Se trata de una categoría relacional porque no atribuye productividad al recurso en sí mismo, sino al proceso institucional mediante el cual ese recurso es asignado, ejecutado y convertido en bienes y resultados educativos.</w:t>
      </w:r>
    </w:p>
    <w:p w14:paraId="04F381BC"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lastRenderedPageBreak/>
        <w:t xml:space="preserve">Desde esta definición, la contraposición entre “inversión” y “gasto” no se resuelve clasificando unas erogaciones como productivas y otras como improductivas de acuerdo con su naturaleza económica. El gasto corriente puede ser imprescindible para garantizar la continuidad pedagógica, mientras que una inversión de capital puede carecer de efectos si no responde a necesidades relevantes o no logra integrarse al funcionamiento cotidiano de las instituciones. </w:t>
      </w:r>
    </w:p>
    <w:p w14:paraId="0CC4CC10"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Tampoco la ausencia de una mejora inmediata permite concluir que una erogación haya sido improductiva, dado que algunas intervenciones generan efectos acumulativos o diferidos. La productividad debe evaluarse atendiendo a la consistencia entre los problemas identificados, las prioridades de asignación, la ejecución de los recursos, los productos generados y la evolución posterior de los resultados.</w:t>
      </w:r>
    </w:p>
    <w:p w14:paraId="74D52F37"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transformación de recursos financieros en resultados educativos se encuentra mediada por capacidades estatales específicas. Estas capacidades no son atributos abstractos ni pueden inferirse únicamente de los resultados finales; se definen en relación con los objetivos que las organizaciones públicas deben alcanzar y con las funciones que necesitan desempeñar (Bertranou, 2015). </w:t>
      </w:r>
    </w:p>
    <w:p w14:paraId="3181540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esta investigación interesa particularmente observar las capacidades de planificación presupuestaria, producción y utilización de información, coordinación entre organismos, asignación y administración de recursos humanos, ejecución de programas, seguimiento, evaluación y sostenimiento de las políticas. Siguiendo a Repetto (2004), su importancia reside en la aptitud de las instancias gubernamentales para traducir decisiones y recursos en intervenciones capaces de generar valor público.</w:t>
      </w:r>
    </w:p>
    <w:p w14:paraId="498184E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implementación constituye el momento en el que esas capacidades se ponen en funcionamiento. No representa una fase automática posterior a la formulación, sino un proceso en el que intervienen organizaciones con competencias diferenciadas, reglas administrativas, recursos disponibles, rutinas burocráticas, mecanismos de coordinación y actores dotados de intereses y márgenes de decisión. </w:t>
      </w:r>
    </w:p>
    <w:p w14:paraId="08D4957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Entre la aprobación presupuestaria y la producción de resultados existe, por consiguiente, una secuencia de decisiones y prácticas que puede reforzar, modificar o limitar los propósitos inicialmente establecidos. Incorporar esta dimensión permite evitar que toda divergencia entre gasto y resultados sea interpretada como un problema exclusivamente financiero.</w:t>
      </w:r>
    </w:p>
    <w:p w14:paraId="5E77DB1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El modelo conceptual distingue cuatro momentos relacionados. El primero corresponde a los recursos de entrada, definidos por el volumen real, las fuentes, la composición y la distribución del financiamiento. El segundo comprende los mecanismos de conversión institucional, entre ellos la planificación, la ejecución, la coordinación, la disponibilidad de información y las capacidades administrativas y pedagógicas. El tercero incluye los productos y condiciones generados por la política, como la provisión de cargos, infraestructura, equipamiento, materiales, conectividad y programas de formación o acompañamiento. El cuarto refiere a los resultados observables en las trayectorias escolares y en los aprendizajes. </w:t>
      </w:r>
    </w:p>
    <w:p w14:paraId="371DC74B"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contexto socioeconómico, territorial e institucional atraviesa la totalidad del proceso y puede ampliar o restringir la capacidad transformadora de los recursos.</w:t>
      </w:r>
    </w:p>
    <w:p w14:paraId="0C73675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Este encadenamiento no supone una causalidad única ni unidireccional. Los resultados previos pueden influir sobre las decisiones presupuestarias posteriores; las transformaciones de la matrícula pueden modificar el gasto por estudiante; y los cambios institucionales pueden alterar simultáneamente la asignación de recursos y las condiciones de producción de información. </w:t>
      </w:r>
    </w:p>
    <w:p w14:paraId="424FEE9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Asimismo, los efectos del financiamiento pueden manifestarse con distintos rezagos temporales. Por esta razón, la investigación no procura construir un coeficiente único de productividad, sino analizar patrones de relación entre dimensiones, identificar convergencias y divergencias y reconstruir los mecanismos que permitan interpretar esas configuraciones.</w:t>
      </w:r>
    </w:p>
    <w:p w14:paraId="0F81C27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lastRenderedPageBreak/>
        <w:t xml:space="preserve">La proposición conceptual que orienta el estudio sostiene, por lo antes expuesto, que el carácter productivo del gasto educativo depende de la articulación entre suficiencia financiera, composición pertinente, distribución equitativa, continuidad temporal y capacidades estatales de implementación. </w:t>
      </w:r>
    </w:p>
    <w:p w14:paraId="000F443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Los recursos constituyen una condición indispensable para garantizar el derecho a la educación, pero su potencialidad se realiza mediante arreglos institucionales capaces de convertirlos en condiciones efectivas de enseñanza, trayectorias escolares sostenidas y aprendizajes relevantes. Esta perspectiva proporciona el fundamento para la estrategia metodológica y para la selección de dimensiones e indicadores que se desarrollan en los apartados siguientes.</w:t>
      </w:r>
    </w:p>
    <w:p w14:paraId="64B9207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2D2036D3" w14:textId="77777777" w:rsidR="001B1B55" w:rsidRPr="001B1B55" w:rsidRDefault="001B1B55" w:rsidP="001B1B55">
      <w:pPr>
        <w:spacing w:after="0" w:line="240" w:lineRule="auto"/>
        <w:jc w:val="both"/>
        <w:rPr>
          <w:rFonts w:ascii="Arial" w:eastAsia="Times New Roman" w:hAnsi="Arial" w:cs="Arial"/>
          <w:b/>
          <w:bCs/>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4. Estrategia metodológica y modelo analítico</w:t>
      </w:r>
    </w:p>
    <w:p w14:paraId="47E414D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investigación se organiza como un estudio de caso de alcance explicativo y perspectiva longitudinal, centrado en los niveles obligatorios del Sistema Educativo de Catamarca durante el período 2012–2022. Esta estrategia ya definida permite examinar el fenómeno dentro de su contexto histórico e institucional y contrastar distintas fuentes de evidencia para comprender los procesos que vinculan las decisiones presupuestarias con el funcionamiento del sistema educativo (Yin, 2018).</w:t>
      </w:r>
    </w:p>
    <w:p w14:paraId="1400744B"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Se adopta un enfoque mixto con integración convergente, en el que los componentes cuantitativo y cualitativo se desarrollan con relativa autonomía, pero se articulan durante la interpretación de los hallazgos. La combinación no responde a una mera acumulación de técnicas: la información financiera y educativa permite identificar tendencias y configuraciones, mientras que la evidencia cualitativa procura reconstruir los procesos decisorios e institucionales que contribuyen a explicarlas (Creswell y Plano Clark, 2018).</w:t>
      </w:r>
    </w:p>
    <w:p w14:paraId="707A223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unidad de análisis es el sistema educativo provincial en sus niveles obligatorios. Dentro de ella se contemplan como subunidades los niveles Inicial, Primario y Secundario, las modalidades de gestión estatal y privada, los ámbitos urbano y rural y, cuando la disponibilidad de información lo permita, las diferencias departamentales. Las unidades de observación comprenden registros presupuestarios y administrativos, indicadores educativos, documentos normativos y programáticos, instituciones y actores vinculados con la planificación, la asignación, la ejecución y el seguimiento de la política educativa.</w:t>
      </w:r>
    </w:p>
    <w:p w14:paraId="187F379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recorte temporal pretende abordarse mediante una periodización analítica que permita distinguir tres momentos: una etapa anterior a la pandemia, comprendida entre 2012 y 2019; la disrupción provocada por la emergencia sanitaria durante 2020 y 2021; y el período inicial de recuperación y reconfiguración correspondiente a 2022. Esta división no presupone comportamientos homogéneos dentro de cada tramo, sino que proporciona una referencia para interpretar cambios de tendencia, discontinuidades estadísticas y modificaciones en las prioridades gubernamentales.</w:t>
      </w:r>
    </w:p>
    <w:p w14:paraId="6384DB9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componente cuantitativo se apoya en leyes de presupuesto, cuentas de inversión, registros de ejecución, transferencias nacionales, estadísticas educativas oficiales y resultados publicados por los operativos ONE y Aprender. En materia financiera se prioriza el gasto devengado frente al crédito presupuestado; cuando ello no resulte posible, se dejará constancia del momento contable utilizado. Las series nominales se expresarán en valores constantes mediante un deflactor oficial aplicado de manera uniforme. Asimismo, se controlará el origen de los fondos para evitar duplicaciones entre recursos nacionales transferidos y erogaciones posteriormente ejecutadas por la provincia.</w:t>
      </w:r>
    </w:p>
    <w:p w14:paraId="7AE94F7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roofErr w:type="gramStart"/>
      <w:r w:rsidRPr="001B1B55">
        <w:rPr>
          <w:rFonts w:ascii="Arial" w:eastAsia="Times New Roman" w:hAnsi="Arial" w:cs="Arial"/>
          <w:color w:val="000000"/>
          <w:kern w:val="0"/>
          <w:sz w:val="22"/>
          <w:szCs w:val="22"/>
          <w:lang w:val="es-AR" w:eastAsia="es-SV"/>
          <w14:ligatures w14:val="none"/>
        </w:rPr>
        <w:t>El procesamiento a realizar</w:t>
      </w:r>
      <w:proofErr w:type="gramEnd"/>
      <w:r w:rsidRPr="001B1B55">
        <w:rPr>
          <w:rFonts w:ascii="Arial" w:eastAsia="Times New Roman" w:hAnsi="Arial" w:cs="Arial"/>
          <w:color w:val="000000"/>
          <w:kern w:val="0"/>
          <w:sz w:val="22"/>
          <w:szCs w:val="22"/>
          <w:lang w:val="es-AR" w:eastAsia="es-SV"/>
          <w14:ligatures w14:val="none"/>
        </w:rPr>
        <w:t xml:space="preserve"> comprende la construcción de series anuales, variaciones reales, participaciones relativas, gasto por estudiante y estructuras porcentuales según fuente, naturaleza económica, objeto, finalidad, nivel o programa, de acuerdo con el grado de desagregación disponible. Cada registro conservará sus datos de procedencia, cobertura temporal, unidad de medida, denominador utilizado y transformaciones </w:t>
      </w:r>
      <w:r w:rsidRPr="001B1B55">
        <w:rPr>
          <w:rFonts w:ascii="Arial" w:eastAsia="Times New Roman" w:hAnsi="Arial" w:cs="Arial"/>
          <w:color w:val="000000"/>
          <w:kern w:val="0"/>
          <w:sz w:val="22"/>
          <w:szCs w:val="22"/>
          <w:lang w:val="es-AR" w:eastAsia="es-SV"/>
          <w14:ligatures w14:val="none"/>
        </w:rPr>
        <w:lastRenderedPageBreak/>
        <w:t>realizadas. Esta trazabilidad permitirá diferenciar una ausencia real de información de un dato no publicado, no comparable o pendiente de acceso.</w:t>
      </w:r>
    </w:p>
    <w:p w14:paraId="6399EAE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Los indicadores de trayectorias escolares prevén organizarse en series anuales, mientras que los resultados de aprendizaje se analizarán únicamente para los años, grados y áreas que presenten condiciones suficientes de comparación. En cada operativo se documentarán la población objetivo, la participación de establecimientos y estudiantes, las escalas de desempeño y los cambios introducidos en los instrumentos. No se interpolarán resultados para los años sin evaluación. Cuando existan diferencias relevantes de cobertura, se realizarán comparaciones alternativas para establecer en qué medida esas variaciones modifican la interpretación.</w:t>
      </w:r>
    </w:p>
    <w:p w14:paraId="22D6ABEB"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análisis cuantitativo es de naturaleza descriptiva y comparativa. Se examinarán tendencias, variaciones interanuales, cambios en la composición del gasto, comportamientos conjuntos y posibles rezagos entre las asignaciones financieras y los indicadores educativos. También se prevé contrastar la evolución de Catamarca con referencias regionales y nacionales que posean definiciones compatibles. Las correspondencias observadas no serán interpretadas aisladamente, sino confrontadas con la periodización histórica, las condiciones contextuales y la evidencia institucional producida por el componente cualitativo.</w:t>
      </w:r>
    </w:p>
    <w:p w14:paraId="208E08B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Este último tendrá una orientación interpretativa y etnográfica. Se conformará una muestra intencional y progresiva de funcionarios y exfuncionarios de las áreas educativa, presupuestaria y de planificación, así como de supervisores, directivos y docentes. La selección buscará incorporar diversidad de responsabilidades, niveles educativos, territorios y experiencias de gestión, sin perseguir representatividad estadística. Las técnicas previstas incluyen entrevistas semiestructuradas, reconstrucciones de experiencias institucionales, observación, registros de campo y análisis de documentos administrativos, normativos y programáticos.</w:t>
      </w:r>
    </w:p>
    <w:p w14:paraId="03F17D7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información cualitativa </w:t>
      </w:r>
      <w:proofErr w:type="gramStart"/>
      <w:r w:rsidRPr="001B1B55">
        <w:rPr>
          <w:rFonts w:ascii="Arial" w:eastAsia="Times New Roman" w:hAnsi="Arial" w:cs="Arial"/>
          <w:color w:val="000000"/>
          <w:kern w:val="0"/>
          <w:sz w:val="22"/>
          <w:szCs w:val="22"/>
          <w:lang w:val="es-AR" w:eastAsia="es-SV"/>
          <w14:ligatures w14:val="none"/>
        </w:rPr>
        <w:t>será sometida</w:t>
      </w:r>
      <w:proofErr w:type="gramEnd"/>
      <w:r w:rsidRPr="001B1B55">
        <w:rPr>
          <w:rFonts w:ascii="Arial" w:eastAsia="Times New Roman" w:hAnsi="Arial" w:cs="Arial"/>
          <w:color w:val="000000"/>
          <w:kern w:val="0"/>
          <w:sz w:val="22"/>
          <w:szCs w:val="22"/>
          <w:lang w:val="es-AR" w:eastAsia="es-SV"/>
          <w14:ligatures w14:val="none"/>
        </w:rPr>
        <w:t xml:space="preserve"> a un proceso de codificación temática. Las categorías iniciales se derivarán de los objetivos y dimensiones del estudio -criterios de asignación, coordinación interorganizacional, disponibilidad y utilización de información, continuidad de programas, ejecución de recursos y seguimiento de resultados-, pero podrán incorporarse categorías emergentes cuando el trabajo de campo revele procesos no previstos. Se contrastarán las perspectivas de los distintos actores y se prestará particular atención a los casos que contradigan las interpretaciones inicialmente formuladas.</w:t>
      </w:r>
    </w:p>
    <w:p w14:paraId="626648E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modelo conceptual presentado en el apartado anterior se traduce operativamente en una matriz integrada de análisis. Para cada nivel educativo y subperíodo se vinculan los indicadores financieros, los mecanismos institucionales documentados, los productos o condiciones generados y la evolución de las trayectorias y los aprendizajes. La integración busca reconocer tres tipos de relaciones entre las fuentes: convergencias, cuando diferentes evidencias sostengan una interpretación común; complementariedades, cuando cada componente ilumine aspectos distintos del mismo proceso; y divergencias, cuando los registros cuantitativos y las experiencias institucionales conduzcan a explicaciones contrapuestas que deban examinarse.</w:t>
      </w:r>
    </w:p>
    <w:p w14:paraId="090741C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consistencia del estudio se procura mediante criterios comunes de definición construidos desde la puesta en marcha del proyecto, un registro sistemático de fuentes y transformaciones, la triangulación entre métodos y actores y la consideración de explicaciones alternativas. Las conclusiones se formularán como inferencias analíticas circunscriptas al caso, al período y a la calidad de la información disponible, esperando arribar a las mismas a finales de 2027. </w:t>
      </w:r>
    </w:p>
    <w:p w14:paraId="76740952"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trabajo de campo se desarrollará con consentimiento informado, resguardo de la identidad de los participantes y utilización confidencial de los testimonios cuando su divulgación pudiera permitir la identificación individual o institucional.</w:t>
      </w:r>
    </w:p>
    <w:p w14:paraId="5C96834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lastRenderedPageBreak/>
        <w:t>La estrategia se desplegará en cuatro fases relacionadas: validación de las dimensiones, los indicadores y sus fuentes; construcción y normalización de la base documental y cuantitativa; producción y análisis de la evidencia cualitativa; e integración interpretativa de los resultados. Esta secuencia podrá ajustarse a la disponibilidad efectiva de información, manteniendo constantes los criterios de trazabilidad, comparabilidad y triangulación que orientan el diseño.</w:t>
      </w:r>
    </w:p>
    <w:p w14:paraId="15380C3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2238B13C" w14:textId="77777777" w:rsidR="001B1B55" w:rsidRPr="001B1B55" w:rsidRDefault="001B1B55" w:rsidP="001B1B55">
      <w:pPr>
        <w:spacing w:after="0" w:line="240" w:lineRule="auto"/>
        <w:jc w:val="both"/>
        <w:rPr>
          <w:rFonts w:ascii="Arial" w:eastAsia="Times New Roman" w:hAnsi="Arial" w:cs="Arial"/>
          <w:b/>
          <w:bCs/>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5. Proceso de conformación del equipo y desarrollo de la investigación</w:t>
      </w:r>
    </w:p>
    <w:p w14:paraId="73F400D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organización del trabajo </w:t>
      </w:r>
      <w:proofErr w:type="gramStart"/>
      <w:r w:rsidRPr="001B1B55">
        <w:rPr>
          <w:rFonts w:ascii="Arial" w:eastAsia="Times New Roman" w:hAnsi="Arial" w:cs="Arial"/>
          <w:color w:val="000000"/>
          <w:kern w:val="0"/>
          <w:sz w:val="22"/>
          <w:szCs w:val="22"/>
          <w:lang w:val="es-AR" w:eastAsia="es-SV"/>
          <w14:ligatures w14:val="none"/>
        </w:rPr>
        <w:t>fue asumida</w:t>
      </w:r>
      <w:proofErr w:type="gramEnd"/>
      <w:r w:rsidRPr="001B1B55">
        <w:rPr>
          <w:rFonts w:ascii="Arial" w:eastAsia="Times New Roman" w:hAnsi="Arial" w:cs="Arial"/>
          <w:color w:val="000000"/>
          <w:kern w:val="0"/>
          <w:sz w:val="22"/>
          <w:szCs w:val="22"/>
          <w:lang w:val="es-AR" w:eastAsia="es-SV"/>
          <w14:ligatures w14:val="none"/>
        </w:rPr>
        <w:t xml:space="preserve"> como una dimensión sustantiva del proyecto y no únicamente como una cuestión administrativa. La heterogeneidad de trayectorias académicas, formaciones disciplinares y experiencias previas de sus integrantes exigió construir un marco compartido que permitiera desarrollar las distintas tareas con criterios homogéneos. De allí que la etapa inicial se orientó a compatibilizar lenguajes, precisar responsabilidades y establecer pautas comunes para la búsqueda, selección, registro y análisis de la información.</w:t>
      </w:r>
    </w:p>
    <w:p w14:paraId="72D050B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conducción general corresponde a la Dirección y Codirección, responsables de coordinar las actividades, preservar la correspondencia entre los objetivos y las decisiones operativas y articular los aportes producidos por las distintas áreas de trabajo. Las investigadoras profesionales intervienen en la identificación y análisis de fuentes, la discusión de categorías y la revisión de los productos parciales. La incorporación de los asistentes estudiantiles se realiza de manera progresiva -hasta el mes de mayo de 2026 inclusive-, mediante tareas delimitadas y supervisadas que les permiten participar efectivamente del proceso y adquirir competencias vinculadas con la investigación científico-académica.</w:t>
      </w:r>
    </w:p>
    <w:p w14:paraId="3CB4F01E"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Esta modalidad procura evitar que la participación de los estudiantes quede reducida a la recopilación mecánica de datos. Su intervención comprende la lectura crítica de documentos, la identificación de organismos productores de información, el reconocimiento de unidades de medida y niveles de desagregación, el registro de metadatos y la detección de discontinuidades o incompatibilidades entre fuentes. Cada actividad se concibe, de este modo, como una instancia simultánea de producción y aprendizaje, acompañada por la revisión de los investigadores con mayor experiencia.</w:t>
      </w:r>
    </w:p>
    <w:p w14:paraId="046C89F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Los encuentros generales funcionan como espacios de deliberación y validación colectiva. En ellos se examinan los avances parciales, se explicitan las dificultades encontradas y se revisa la correspondencia entre las tareas realizadas y los interrogantes del proyecto. Entre una reunión y otra, el trabajo se distribuye de acuerdo con las responsabilidades y posibilidades de cada integrante, para luego </w:t>
      </w:r>
      <w:proofErr w:type="gramStart"/>
      <w:r w:rsidRPr="001B1B55">
        <w:rPr>
          <w:rFonts w:ascii="Arial" w:eastAsia="Times New Roman" w:hAnsi="Arial" w:cs="Arial"/>
          <w:color w:val="000000"/>
          <w:kern w:val="0"/>
          <w:sz w:val="22"/>
          <w:szCs w:val="22"/>
          <w:lang w:val="es-AR" w:eastAsia="es-SV"/>
          <w14:ligatures w14:val="none"/>
        </w:rPr>
        <w:t>ser sometido</w:t>
      </w:r>
      <w:proofErr w:type="gramEnd"/>
      <w:r w:rsidRPr="001B1B55">
        <w:rPr>
          <w:rFonts w:ascii="Arial" w:eastAsia="Times New Roman" w:hAnsi="Arial" w:cs="Arial"/>
          <w:color w:val="000000"/>
          <w:kern w:val="0"/>
          <w:sz w:val="22"/>
          <w:szCs w:val="22"/>
          <w:lang w:val="es-AR" w:eastAsia="es-SV"/>
          <w14:ligatures w14:val="none"/>
        </w:rPr>
        <w:t xml:space="preserve"> a una nueva instancia de discusión conjunta. Esta secuencia de producción descentralizada y revisión plenaria busca preservar la coherencia del estudio sin anular la autonomía progresiva de sus miembros.</w:t>
      </w:r>
    </w:p>
    <w:p w14:paraId="52F48A4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Un aprendizaje relevante de esta etapa fue la necesidad de diferenciar las actividades según su grado de dependencia respecto de fuentes externas. Algunas tareas -como la revisión normativa, el relevamiento de publicaciones oficiales, la reconstrucción de antecedentes y la definición de indicadores- pueden continuar con documentación públicamente disponible. Otras requieren respuestas o autorizaciones de organismos provinciales, mientras que un tercer grupo solo podrá iniciarse cuando se encuentren consolidadas las bases financieras y educativas. Esta distinción permite evitar que una restricción localizada paralice el conjunto del proyecto</w:t>
      </w:r>
    </w:p>
    <w:p w14:paraId="0A691086" w14:textId="278B244D" w:rsid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1FFC6010" w14:textId="2FFE013B" w:rsid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3E820FD9" w14:textId="1EA6C263" w:rsid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7E7C1F89" w14:textId="7AD2C739" w:rsid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0331CAAD" w14:textId="2838F0CB" w:rsid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2B7A5A17"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7BAB9288" w14:textId="77777777" w:rsidR="001B1B55" w:rsidRPr="001B1B55" w:rsidRDefault="001B1B55" w:rsidP="001B1B55">
      <w:pPr>
        <w:spacing w:after="0" w:line="240" w:lineRule="auto"/>
        <w:jc w:val="center"/>
        <w:rPr>
          <w:rFonts w:ascii="Arial" w:eastAsia="Times New Roman" w:hAnsi="Arial" w:cs="Arial"/>
          <w:b/>
          <w:bCs/>
          <w:color w:val="000000"/>
          <w:kern w:val="0"/>
          <w:sz w:val="20"/>
          <w:szCs w:val="20"/>
          <w:lang w:val="es-AR" w:eastAsia="es-SV"/>
          <w14:ligatures w14:val="none"/>
        </w:rPr>
      </w:pPr>
      <w:r w:rsidRPr="001B1B55">
        <w:rPr>
          <w:rFonts w:ascii="Arial" w:eastAsia="Times New Roman" w:hAnsi="Arial" w:cs="Arial"/>
          <w:b/>
          <w:bCs/>
          <w:color w:val="000000"/>
          <w:kern w:val="0"/>
          <w:sz w:val="20"/>
          <w:szCs w:val="20"/>
          <w:lang w:val="es-AR" w:eastAsia="es-SV"/>
          <w14:ligatures w14:val="none"/>
        </w:rPr>
        <w:lastRenderedPageBreak/>
        <w:t>Tabla 1. Integrantes Proyecto PIDI III Cod S.P.U Nº 02/0379 (2026/2027)</w:t>
      </w:r>
    </w:p>
    <w:tbl>
      <w:tblPr>
        <w:tblStyle w:val="Tablaconcuadrcula"/>
        <w:tblW w:w="0" w:type="auto"/>
        <w:tblLook w:val="04A0" w:firstRow="1" w:lastRow="0" w:firstColumn="1" w:lastColumn="0" w:noHBand="0" w:noVBand="1"/>
      </w:tblPr>
      <w:tblGrid>
        <w:gridCol w:w="4244"/>
        <w:gridCol w:w="4250"/>
      </w:tblGrid>
      <w:tr w:rsidR="001B1B55" w:rsidRPr="001B1B55" w14:paraId="2105D50C" w14:textId="77777777" w:rsidTr="00DB41D1">
        <w:tc>
          <w:tcPr>
            <w:tcW w:w="4530" w:type="dxa"/>
            <w:shd w:val="clear" w:color="auto" w:fill="FFE599" w:themeFill="accent4" w:themeFillTint="66"/>
          </w:tcPr>
          <w:p w14:paraId="002171E8" w14:textId="77777777" w:rsidR="001B1B55" w:rsidRPr="001B1B55" w:rsidRDefault="001B1B55" w:rsidP="001B1B55">
            <w:pPr>
              <w:spacing w:line="259" w:lineRule="auto"/>
              <w:jc w:val="both"/>
              <w:rPr>
                <w:rFonts w:ascii="Arial" w:eastAsia="Times New Roman" w:hAnsi="Arial" w:cs="Arial"/>
                <w:b/>
                <w:bCs/>
                <w:color w:val="000000"/>
                <w:sz w:val="20"/>
                <w:szCs w:val="20"/>
                <w:lang w:eastAsia="es-SV"/>
              </w:rPr>
            </w:pPr>
            <w:r w:rsidRPr="001B1B55">
              <w:rPr>
                <w:rFonts w:ascii="Arial" w:eastAsia="Times New Roman" w:hAnsi="Arial" w:cs="Arial"/>
                <w:b/>
                <w:bCs/>
                <w:color w:val="000000"/>
                <w:sz w:val="20"/>
                <w:szCs w:val="20"/>
                <w:lang w:eastAsia="es-SV"/>
              </w:rPr>
              <w:t xml:space="preserve">Apellido y nombre </w:t>
            </w:r>
          </w:p>
        </w:tc>
        <w:tc>
          <w:tcPr>
            <w:tcW w:w="4530" w:type="dxa"/>
            <w:shd w:val="clear" w:color="auto" w:fill="FFE599" w:themeFill="accent4" w:themeFillTint="66"/>
          </w:tcPr>
          <w:p w14:paraId="1E1B868F" w14:textId="77777777" w:rsidR="001B1B55" w:rsidRPr="001B1B55" w:rsidRDefault="001B1B55" w:rsidP="001B1B55">
            <w:pPr>
              <w:spacing w:line="259" w:lineRule="auto"/>
              <w:jc w:val="both"/>
              <w:rPr>
                <w:rFonts w:ascii="Arial" w:eastAsia="Times New Roman" w:hAnsi="Arial" w:cs="Arial"/>
                <w:b/>
                <w:bCs/>
                <w:color w:val="000000"/>
                <w:sz w:val="20"/>
                <w:szCs w:val="20"/>
                <w:lang w:eastAsia="es-SV"/>
              </w:rPr>
            </w:pPr>
            <w:r w:rsidRPr="001B1B55">
              <w:rPr>
                <w:rFonts w:ascii="Arial" w:eastAsia="Times New Roman" w:hAnsi="Arial" w:cs="Arial"/>
                <w:b/>
                <w:bCs/>
                <w:color w:val="000000"/>
                <w:sz w:val="20"/>
                <w:szCs w:val="20"/>
                <w:lang w:eastAsia="es-SV"/>
              </w:rPr>
              <w:t>Rol y función</w:t>
            </w:r>
          </w:p>
        </w:tc>
      </w:tr>
      <w:tr w:rsidR="001B1B55" w:rsidRPr="001B1B55" w14:paraId="44595AF2" w14:textId="77777777" w:rsidTr="00DB41D1">
        <w:tc>
          <w:tcPr>
            <w:tcW w:w="4530" w:type="dxa"/>
            <w:shd w:val="clear" w:color="auto" w:fill="FFF2CC" w:themeFill="accent4" w:themeFillTint="33"/>
          </w:tcPr>
          <w:p w14:paraId="77CAFEF4"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PERNA, Mario Alberto</w:t>
            </w:r>
          </w:p>
        </w:tc>
        <w:tc>
          <w:tcPr>
            <w:tcW w:w="4530" w:type="dxa"/>
            <w:shd w:val="clear" w:color="auto" w:fill="FFF2CC" w:themeFill="accent4" w:themeFillTint="33"/>
          </w:tcPr>
          <w:p w14:paraId="41A3CF6D"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Director</w:t>
            </w:r>
          </w:p>
        </w:tc>
      </w:tr>
      <w:tr w:rsidR="001B1B55" w:rsidRPr="001B1B55" w14:paraId="19545384" w14:textId="77777777" w:rsidTr="00DB41D1">
        <w:tc>
          <w:tcPr>
            <w:tcW w:w="4530" w:type="dxa"/>
            <w:shd w:val="clear" w:color="auto" w:fill="FFF2CC" w:themeFill="accent4" w:themeFillTint="33"/>
          </w:tcPr>
          <w:p w14:paraId="3302C14B"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LASCANO, Braian Martín</w:t>
            </w:r>
          </w:p>
        </w:tc>
        <w:tc>
          <w:tcPr>
            <w:tcW w:w="4530" w:type="dxa"/>
            <w:shd w:val="clear" w:color="auto" w:fill="FFF2CC" w:themeFill="accent4" w:themeFillTint="33"/>
          </w:tcPr>
          <w:p w14:paraId="0BBE29C0"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 xml:space="preserve">Codirector </w:t>
            </w:r>
          </w:p>
        </w:tc>
      </w:tr>
      <w:tr w:rsidR="001B1B55" w:rsidRPr="001B1B55" w14:paraId="489D95BD" w14:textId="77777777" w:rsidTr="00DB41D1">
        <w:tc>
          <w:tcPr>
            <w:tcW w:w="4530" w:type="dxa"/>
            <w:shd w:val="clear" w:color="auto" w:fill="FFF2CC" w:themeFill="accent4" w:themeFillTint="33"/>
          </w:tcPr>
          <w:p w14:paraId="53149B3C"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AHUMADA, Ana Laura</w:t>
            </w:r>
          </w:p>
        </w:tc>
        <w:tc>
          <w:tcPr>
            <w:tcW w:w="4530" w:type="dxa"/>
            <w:shd w:val="clear" w:color="auto" w:fill="FFF2CC" w:themeFill="accent4" w:themeFillTint="33"/>
          </w:tcPr>
          <w:p w14:paraId="5894340C"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Profesional Investigadora</w:t>
            </w:r>
          </w:p>
        </w:tc>
      </w:tr>
      <w:tr w:rsidR="001B1B55" w:rsidRPr="001B1B55" w14:paraId="1D2A05D3" w14:textId="77777777" w:rsidTr="00DB41D1">
        <w:tc>
          <w:tcPr>
            <w:tcW w:w="4530" w:type="dxa"/>
            <w:shd w:val="clear" w:color="auto" w:fill="FFF2CC" w:themeFill="accent4" w:themeFillTint="33"/>
          </w:tcPr>
          <w:p w14:paraId="60864448"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COSTA ROBLES, Mirna Elizabeth</w:t>
            </w:r>
          </w:p>
        </w:tc>
        <w:tc>
          <w:tcPr>
            <w:tcW w:w="4530" w:type="dxa"/>
            <w:shd w:val="clear" w:color="auto" w:fill="FFF2CC" w:themeFill="accent4" w:themeFillTint="33"/>
          </w:tcPr>
          <w:p w14:paraId="19F66915"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Profesional Investigadora</w:t>
            </w:r>
          </w:p>
        </w:tc>
      </w:tr>
      <w:tr w:rsidR="001B1B55" w:rsidRPr="001B1B55" w14:paraId="3E798F03" w14:textId="77777777" w:rsidTr="00DB41D1">
        <w:tc>
          <w:tcPr>
            <w:tcW w:w="4530" w:type="dxa"/>
            <w:shd w:val="clear" w:color="auto" w:fill="FFF2CC" w:themeFill="accent4" w:themeFillTint="33"/>
          </w:tcPr>
          <w:p w14:paraId="702E3628"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HERRERA, Ivana</w:t>
            </w:r>
          </w:p>
        </w:tc>
        <w:tc>
          <w:tcPr>
            <w:tcW w:w="4530" w:type="dxa"/>
            <w:shd w:val="clear" w:color="auto" w:fill="FFF2CC" w:themeFill="accent4" w:themeFillTint="33"/>
          </w:tcPr>
          <w:p w14:paraId="37E099D0"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Profesional Investigadora</w:t>
            </w:r>
          </w:p>
        </w:tc>
      </w:tr>
      <w:tr w:rsidR="001B1B55" w:rsidRPr="001B1B55" w14:paraId="30C318CB" w14:textId="77777777" w:rsidTr="00DB41D1">
        <w:tc>
          <w:tcPr>
            <w:tcW w:w="4530" w:type="dxa"/>
            <w:shd w:val="clear" w:color="auto" w:fill="FFF2CC" w:themeFill="accent4" w:themeFillTint="33"/>
          </w:tcPr>
          <w:p w14:paraId="587046BF"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BRIZUELA, Cristian</w:t>
            </w:r>
          </w:p>
        </w:tc>
        <w:tc>
          <w:tcPr>
            <w:tcW w:w="4530" w:type="dxa"/>
            <w:shd w:val="clear" w:color="auto" w:fill="FFF2CC" w:themeFill="accent4" w:themeFillTint="33"/>
          </w:tcPr>
          <w:p w14:paraId="6656F35D"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Asistente Estudiantil</w:t>
            </w:r>
          </w:p>
        </w:tc>
      </w:tr>
      <w:tr w:rsidR="001B1B55" w:rsidRPr="001B1B55" w14:paraId="4A57B4D4" w14:textId="77777777" w:rsidTr="00DB41D1">
        <w:tc>
          <w:tcPr>
            <w:tcW w:w="4530" w:type="dxa"/>
            <w:shd w:val="clear" w:color="auto" w:fill="FFF2CC" w:themeFill="accent4" w:themeFillTint="33"/>
          </w:tcPr>
          <w:p w14:paraId="479AEDB3"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DORIA, Zaira</w:t>
            </w:r>
          </w:p>
        </w:tc>
        <w:tc>
          <w:tcPr>
            <w:tcW w:w="4530" w:type="dxa"/>
            <w:shd w:val="clear" w:color="auto" w:fill="FFF2CC" w:themeFill="accent4" w:themeFillTint="33"/>
          </w:tcPr>
          <w:p w14:paraId="1D9DD095"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Asistente Estudiantil</w:t>
            </w:r>
          </w:p>
        </w:tc>
      </w:tr>
      <w:tr w:rsidR="001B1B55" w:rsidRPr="001B1B55" w14:paraId="775778B4" w14:textId="77777777" w:rsidTr="00DB41D1">
        <w:tc>
          <w:tcPr>
            <w:tcW w:w="4530" w:type="dxa"/>
            <w:shd w:val="clear" w:color="auto" w:fill="FFF2CC" w:themeFill="accent4" w:themeFillTint="33"/>
          </w:tcPr>
          <w:p w14:paraId="21C0F48C"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FERREYRA SAQUILAN, Gonzalo</w:t>
            </w:r>
          </w:p>
        </w:tc>
        <w:tc>
          <w:tcPr>
            <w:tcW w:w="4530" w:type="dxa"/>
            <w:shd w:val="clear" w:color="auto" w:fill="FFF2CC" w:themeFill="accent4" w:themeFillTint="33"/>
          </w:tcPr>
          <w:p w14:paraId="027255F0"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Asistente Estudiantil</w:t>
            </w:r>
          </w:p>
        </w:tc>
      </w:tr>
      <w:tr w:rsidR="001B1B55" w:rsidRPr="001B1B55" w14:paraId="6624FAFE" w14:textId="77777777" w:rsidTr="00DB41D1">
        <w:tc>
          <w:tcPr>
            <w:tcW w:w="4530" w:type="dxa"/>
            <w:shd w:val="clear" w:color="auto" w:fill="FFF2CC" w:themeFill="accent4" w:themeFillTint="33"/>
          </w:tcPr>
          <w:p w14:paraId="71BE8B26"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FERREYRA, Sergio</w:t>
            </w:r>
          </w:p>
        </w:tc>
        <w:tc>
          <w:tcPr>
            <w:tcW w:w="4530" w:type="dxa"/>
            <w:shd w:val="clear" w:color="auto" w:fill="FFF2CC" w:themeFill="accent4" w:themeFillTint="33"/>
          </w:tcPr>
          <w:p w14:paraId="35ED2804"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Asistente Estudiantil</w:t>
            </w:r>
          </w:p>
        </w:tc>
      </w:tr>
      <w:tr w:rsidR="001B1B55" w:rsidRPr="001B1B55" w14:paraId="4ED87B41" w14:textId="77777777" w:rsidTr="00DB41D1">
        <w:tc>
          <w:tcPr>
            <w:tcW w:w="4530" w:type="dxa"/>
            <w:shd w:val="clear" w:color="auto" w:fill="FFF2CC" w:themeFill="accent4" w:themeFillTint="33"/>
          </w:tcPr>
          <w:p w14:paraId="33BDBE70"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GUZMAN, Santiago</w:t>
            </w:r>
          </w:p>
        </w:tc>
        <w:tc>
          <w:tcPr>
            <w:tcW w:w="4530" w:type="dxa"/>
            <w:shd w:val="clear" w:color="auto" w:fill="FFF2CC" w:themeFill="accent4" w:themeFillTint="33"/>
          </w:tcPr>
          <w:p w14:paraId="113F9233"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Asistente Estudiantil</w:t>
            </w:r>
          </w:p>
        </w:tc>
      </w:tr>
      <w:tr w:rsidR="001B1B55" w:rsidRPr="001B1B55" w14:paraId="174081F4" w14:textId="77777777" w:rsidTr="00DB41D1">
        <w:tc>
          <w:tcPr>
            <w:tcW w:w="4530" w:type="dxa"/>
            <w:shd w:val="clear" w:color="auto" w:fill="FFF2CC" w:themeFill="accent4" w:themeFillTint="33"/>
          </w:tcPr>
          <w:p w14:paraId="61FD4673"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MACEDO, María</w:t>
            </w:r>
          </w:p>
        </w:tc>
        <w:tc>
          <w:tcPr>
            <w:tcW w:w="4530" w:type="dxa"/>
            <w:shd w:val="clear" w:color="auto" w:fill="FFF2CC" w:themeFill="accent4" w:themeFillTint="33"/>
          </w:tcPr>
          <w:p w14:paraId="4C84A1D0"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Asistente Estudiantil</w:t>
            </w:r>
          </w:p>
        </w:tc>
      </w:tr>
      <w:tr w:rsidR="001B1B55" w:rsidRPr="001B1B55" w14:paraId="6B6B5E65" w14:textId="77777777" w:rsidTr="00DB41D1">
        <w:tc>
          <w:tcPr>
            <w:tcW w:w="4530" w:type="dxa"/>
            <w:shd w:val="clear" w:color="auto" w:fill="FFF2CC" w:themeFill="accent4" w:themeFillTint="33"/>
          </w:tcPr>
          <w:p w14:paraId="20C63BDE"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MARQUEZ, Matías</w:t>
            </w:r>
          </w:p>
        </w:tc>
        <w:tc>
          <w:tcPr>
            <w:tcW w:w="4530" w:type="dxa"/>
            <w:shd w:val="clear" w:color="auto" w:fill="FFF2CC" w:themeFill="accent4" w:themeFillTint="33"/>
          </w:tcPr>
          <w:p w14:paraId="6FF37F66" w14:textId="77777777" w:rsidR="001B1B55" w:rsidRPr="001B1B55" w:rsidRDefault="001B1B55" w:rsidP="001B1B55">
            <w:pPr>
              <w:spacing w:line="259" w:lineRule="auto"/>
              <w:jc w:val="both"/>
              <w:rPr>
                <w:rFonts w:ascii="Arial" w:eastAsia="Times New Roman" w:hAnsi="Arial" w:cs="Arial"/>
                <w:color w:val="000000"/>
                <w:sz w:val="20"/>
                <w:szCs w:val="20"/>
                <w:lang w:eastAsia="es-SV"/>
              </w:rPr>
            </w:pPr>
            <w:r w:rsidRPr="001B1B55">
              <w:rPr>
                <w:rFonts w:ascii="Arial" w:eastAsia="Times New Roman" w:hAnsi="Arial" w:cs="Arial"/>
                <w:color w:val="000000"/>
                <w:sz w:val="20"/>
                <w:szCs w:val="20"/>
                <w:lang w:eastAsia="es-SV"/>
              </w:rPr>
              <w:t>Asistente Estudiantil</w:t>
            </w:r>
          </w:p>
        </w:tc>
      </w:tr>
    </w:tbl>
    <w:p w14:paraId="111129BA" w14:textId="68907B1A" w:rsidR="001B1B55" w:rsidRPr="001B1B55" w:rsidRDefault="001B1B55" w:rsidP="001B1B55">
      <w:pPr>
        <w:spacing w:after="0" w:line="240" w:lineRule="auto"/>
        <w:jc w:val="both"/>
        <w:rPr>
          <w:rFonts w:ascii="Arial" w:eastAsia="Times New Roman" w:hAnsi="Arial" w:cs="Arial"/>
          <w:color w:val="000000"/>
          <w:kern w:val="0"/>
          <w:sz w:val="18"/>
          <w:szCs w:val="18"/>
          <w:lang w:val="es-AR" w:eastAsia="es-SV"/>
          <w14:ligatures w14:val="none"/>
        </w:rPr>
      </w:pPr>
      <w:r w:rsidRPr="001B1B55">
        <w:rPr>
          <w:rFonts w:ascii="Arial" w:eastAsia="Times New Roman" w:hAnsi="Arial" w:cs="Arial"/>
          <w:b/>
          <w:bCs/>
          <w:color w:val="000000"/>
          <w:kern w:val="0"/>
          <w:sz w:val="18"/>
          <w:szCs w:val="18"/>
          <w:lang w:val="es-AR" w:eastAsia="es-SV"/>
          <w14:ligatures w14:val="none"/>
        </w:rPr>
        <w:t>Fuente</w:t>
      </w:r>
      <w:r w:rsidRPr="001B1B55">
        <w:rPr>
          <w:rFonts w:ascii="Arial" w:eastAsia="Times New Roman" w:hAnsi="Arial" w:cs="Arial"/>
          <w:color w:val="000000"/>
          <w:kern w:val="0"/>
          <w:sz w:val="18"/>
          <w:szCs w:val="18"/>
          <w:lang w:val="es-AR" w:eastAsia="es-SV"/>
          <w14:ligatures w14:val="none"/>
        </w:rPr>
        <w:t>: Elaboración propia de</w:t>
      </w:r>
      <w:r>
        <w:rPr>
          <w:rFonts w:ascii="Arial" w:eastAsia="Times New Roman" w:hAnsi="Arial" w:cs="Arial"/>
          <w:color w:val="000000"/>
          <w:kern w:val="0"/>
          <w:sz w:val="18"/>
          <w:szCs w:val="18"/>
          <w:lang w:val="es-AR" w:eastAsia="es-SV"/>
          <w14:ligatures w14:val="none"/>
        </w:rPr>
        <w:t>l autor</w:t>
      </w:r>
    </w:p>
    <w:p w14:paraId="5A7A80B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28A9A70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el quinto encuentro general se revisó la secuencia operativa inicialmente prevista y se acordó priorizar las actividades que podían desarrollarse con los recursos ya disponibles. La reordenación no modificó los objetivos ni el diseño general, sino que reorganizó las dependencias entre tareas y permitió concentrar el trabajo inmediato en la sistematización documental, la revisión de fuentes y la construcción del dispositivo de registro. Las gestiones institucionales necesarias para acceder a información no publicada continuaron como una línea paralela, algo rezagadas por los cambios institucionales que se han producido en diversas dependencias del estado provincial.</w:t>
      </w:r>
    </w:p>
    <w:p w14:paraId="0F79A59E"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principal resultado organizativo de esta fase consiste en haber avanzado desde una integración formal de personas hacia la conformación progresiva de un equipo con criterios comunes de trabajo. Esa consolidación no se considera concluida ni homogénea, pero puede observarse en la apropiación gradual del problema, la mayor precisión de las tareas asignadas y la capacidad colectiva para reconocer limitaciones, revisar decisiones y documentar los procedimientos utilizados.</w:t>
      </w:r>
    </w:p>
    <w:p w14:paraId="48D34B5B"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Esta presentación refleja el espíritu de trabajo del colectivo pues más allá de su autoría, es producto del trabajo de todo el equipo referenciado en la Tabla 1. </w:t>
      </w:r>
    </w:p>
    <w:p w14:paraId="6CFEBB4C"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este contexto, la bitácora de dimensiones e indicadores constituye tanto un producto metodológico como un instrumento de coordinación interna. Su elaboración permitió traducir los objetivos generales en unidades de trabajo verificables, distribuir responsabilidades y establecer un lenguaje común para el tratamiento posterior de la información. Su estructura y los criterios adoptados para su construcción se presentan en el apartado siguiente.</w:t>
      </w:r>
    </w:p>
    <w:p w14:paraId="0364394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36F5937C" w14:textId="77777777" w:rsidR="001B1B55" w:rsidRPr="001B1B55" w:rsidRDefault="001B1B55" w:rsidP="001B1B55">
      <w:pPr>
        <w:spacing w:after="0" w:line="240" w:lineRule="auto"/>
        <w:jc w:val="both"/>
        <w:rPr>
          <w:rFonts w:ascii="Arial" w:eastAsia="Times New Roman" w:hAnsi="Arial" w:cs="Arial"/>
          <w:b/>
          <w:bCs/>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6. Construcción de la matriz de dimensiones e indicadores</w:t>
      </w:r>
    </w:p>
    <w:p w14:paraId="0627D537"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construcción de la matriz partió de una decisión metodológica fundamental: distinguir entre un repertorio inicial de indicadores potencialmente relevantes y el conjunto más acotado que finalmente podrá incorporarse al análisis. La bitácora elaborada no constituye todavía una base empírica consolidada, sino un instrumento de exploración, clasificación y control destinado a evaluar la pertinencia, disponibilidad y comparabilidad de la información necesaria para responder a los interrogantes del proyecto.</w:t>
      </w:r>
    </w:p>
    <w:p w14:paraId="412B584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relevamiento inicial permitió identificar cincuenta y seis indicadores potenciales, organizados en siete dimensiones complementarias. Su distribución se sintetiza en la Tabla 2.</w:t>
      </w:r>
    </w:p>
    <w:p w14:paraId="36E75A17"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6477EF35" w14:textId="0FDEF3A2" w:rsid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77354811" w14:textId="521AB98C" w:rsid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664D15FC"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6820AFB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49015200" w14:textId="77777777" w:rsidR="001B1B55" w:rsidRPr="001B1B55" w:rsidRDefault="001B1B55" w:rsidP="001B1B55">
      <w:pPr>
        <w:spacing w:after="0" w:line="240" w:lineRule="auto"/>
        <w:jc w:val="center"/>
        <w:rPr>
          <w:rFonts w:ascii="Arial" w:eastAsia="Times New Roman" w:hAnsi="Arial" w:cs="Arial"/>
          <w:b/>
          <w:bCs/>
          <w:color w:val="000000"/>
          <w:kern w:val="0"/>
          <w:sz w:val="20"/>
          <w:szCs w:val="20"/>
          <w:lang w:val="es-AR" w:eastAsia="es-SV"/>
          <w14:ligatures w14:val="none"/>
        </w:rPr>
      </w:pPr>
      <w:r w:rsidRPr="001B1B55">
        <w:rPr>
          <w:rFonts w:ascii="Arial" w:eastAsia="Times New Roman" w:hAnsi="Arial" w:cs="Arial"/>
          <w:b/>
          <w:bCs/>
          <w:color w:val="000000"/>
          <w:kern w:val="0"/>
          <w:sz w:val="20"/>
          <w:szCs w:val="20"/>
          <w:lang w:val="es-AR" w:eastAsia="es-SV"/>
          <w14:ligatures w14:val="none"/>
        </w:rPr>
        <w:t>Tabla 2. Dimensiones e indicadores potenciales de análisis</w:t>
      </w:r>
    </w:p>
    <w:tbl>
      <w:tblPr>
        <w:tblStyle w:val="Tablaconcuadrcula"/>
        <w:tblW w:w="0" w:type="auto"/>
        <w:tblLook w:val="04A0" w:firstRow="1" w:lastRow="0" w:firstColumn="1" w:lastColumn="0" w:noHBand="0" w:noVBand="1"/>
      </w:tblPr>
      <w:tblGrid>
        <w:gridCol w:w="2726"/>
        <w:gridCol w:w="1339"/>
        <w:gridCol w:w="4429"/>
      </w:tblGrid>
      <w:tr w:rsidR="001B1B55" w:rsidRPr="001B1B55" w14:paraId="15FA5CE4" w14:textId="77777777" w:rsidTr="00DB41D1">
        <w:tc>
          <w:tcPr>
            <w:tcW w:w="3020" w:type="dxa"/>
            <w:shd w:val="clear" w:color="auto" w:fill="FFE599" w:themeFill="accent4" w:themeFillTint="66"/>
          </w:tcPr>
          <w:p w14:paraId="52B39A06" w14:textId="77777777" w:rsidR="001B1B55" w:rsidRPr="001B1B55" w:rsidRDefault="001B1B55" w:rsidP="001B1B55">
            <w:pPr>
              <w:spacing w:line="259" w:lineRule="auto"/>
              <w:jc w:val="center"/>
              <w:rPr>
                <w:rFonts w:ascii="Arial" w:eastAsia="Times New Roman" w:hAnsi="Arial" w:cs="Arial"/>
                <w:b/>
                <w:bCs/>
                <w:color w:val="000000"/>
                <w:sz w:val="20"/>
                <w:szCs w:val="20"/>
                <w:lang w:val="es-SV" w:eastAsia="es-SV"/>
              </w:rPr>
            </w:pPr>
            <w:r w:rsidRPr="001B1B55">
              <w:rPr>
                <w:rFonts w:ascii="Arial" w:eastAsia="Times New Roman" w:hAnsi="Arial" w:cs="Arial"/>
                <w:b/>
                <w:bCs/>
                <w:color w:val="000000"/>
                <w:sz w:val="20"/>
                <w:szCs w:val="20"/>
                <w:lang w:val="es-SV" w:eastAsia="es-SV"/>
              </w:rPr>
              <w:t>Dimensión</w:t>
            </w:r>
          </w:p>
        </w:tc>
        <w:tc>
          <w:tcPr>
            <w:tcW w:w="944" w:type="dxa"/>
            <w:shd w:val="clear" w:color="auto" w:fill="FFE599" w:themeFill="accent4" w:themeFillTint="66"/>
          </w:tcPr>
          <w:p w14:paraId="4F28B1B8" w14:textId="77777777" w:rsidR="001B1B55" w:rsidRPr="001B1B55" w:rsidRDefault="001B1B55" w:rsidP="001B1B55">
            <w:pPr>
              <w:spacing w:line="259" w:lineRule="auto"/>
              <w:jc w:val="center"/>
              <w:rPr>
                <w:rFonts w:ascii="Arial" w:eastAsia="Times New Roman" w:hAnsi="Arial" w:cs="Arial"/>
                <w:b/>
                <w:bCs/>
                <w:color w:val="000000"/>
                <w:sz w:val="20"/>
                <w:szCs w:val="20"/>
                <w:lang w:val="es-SV" w:eastAsia="es-SV"/>
              </w:rPr>
            </w:pPr>
            <w:r w:rsidRPr="001B1B55">
              <w:rPr>
                <w:rFonts w:ascii="Arial" w:eastAsia="Times New Roman" w:hAnsi="Arial" w:cs="Arial"/>
                <w:b/>
                <w:bCs/>
                <w:color w:val="000000"/>
                <w:sz w:val="20"/>
                <w:szCs w:val="20"/>
                <w:lang w:val="es-SV" w:eastAsia="es-SV"/>
              </w:rPr>
              <w:t>Cantidad</w:t>
            </w:r>
          </w:p>
          <w:p w14:paraId="6736BC01" w14:textId="77777777" w:rsidR="001B1B55" w:rsidRPr="001B1B55" w:rsidRDefault="001B1B55" w:rsidP="001B1B55">
            <w:pPr>
              <w:spacing w:line="259" w:lineRule="auto"/>
              <w:jc w:val="center"/>
              <w:rPr>
                <w:rFonts w:ascii="Arial" w:eastAsia="Times New Roman" w:hAnsi="Arial" w:cs="Arial"/>
                <w:b/>
                <w:bCs/>
                <w:color w:val="000000"/>
                <w:sz w:val="20"/>
                <w:szCs w:val="20"/>
                <w:lang w:val="es-SV" w:eastAsia="es-SV"/>
              </w:rPr>
            </w:pPr>
            <w:r w:rsidRPr="001B1B55">
              <w:rPr>
                <w:rFonts w:ascii="Arial" w:eastAsia="Times New Roman" w:hAnsi="Arial" w:cs="Arial"/>
                <w:b/>
                <w:bCs/>
                <w:color w:val="000000"/>
                <w:sz w:val="20"/>
                <w:szCs w:val="20"/>
                <w:lang w:val="es-SV" w:eastAsia="es-SV"/>
              </w:rPr>
              <w:t>Indicadores</w:t>
            </w:r>
          </w:p>
        </w:tc>
        <w:tc>
          <w:tcPr>
            <w:tcW w:w="5096" w:type="dxa"/>
            <w:shd w:val="clear" w:color="auto" w:fill="FFE599" w:themeFill="accent4" w:themeFillTint="66"/>
          </w:tcPr>
          <w:p w14:paraId="39D75C3D" w14:textId="77777777" w:rsidR="001B1B55" w:rsidRPr="001B1B55" w:rsidRDefault="001B1B55" w:rsidP="001B1B55">
            <w:pPr>
              <w:spacing w:line="259" w:lineRule="auto"/>
              <w:jc w:val="center"/>
              <w:rPr>
                <w:rFonts w:ascii="Arial" w:eastAsia="Times New Roman" w:hAnsi="Arial" w:cs="Arial"/>
                <w:b/>
                <w:bCs/>
                <w:color w:val="000000"/>
                <w:sz w:val="20"/>
                <w:szCs w:val="20"/>
                <w:lang w:val="es-SV" w:eastAsia="es-SV"/>
              </w:rPr>
            </w:pPr>
            <w:r w:rsidRPr="001B1B55">
              <w:rPr>
                <w:rFonts w:ascii="Arial" w:eastAsia="Times New Roman" w:hAnsi="Arial" w:cs="Arial"/>
                <w:b/>
                <w:bCs/>
                <w:color w:val="000000"/>
                <w:sz w:val="20"/>
                <w:szCs w:val="20"/>
                <w:lang w:val="es-SV" w:eastAsia="es-SV"/>
              </w:rPr>
              <w:t xml:space="preserve">Funciones </w:t>
            </w:r>
          </w:p>
        </w:tc>
      </w:tr>
      <w:tr w:rsidR="001B1B55" w:rsidRPr="001B1B55" w14:paraId="0A779F21" w14:textId="77777777" w:rsidTr="00DB41D1">
        <w:tc>
          <w:tcPr>
            <w:tcW w:w="3020" w:type="dxa"/>
            <w:shd w:val="clear" w:color="auto" w:fill="FFF2CC" w:themeFill="accent4" w:themeFillTint="33"/>
          </w:tcPr>
          <w:p w14:paraId="40CA4A4E"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Resultados de aprendizaje</w:t>
            </w:r>
          </w:p>
        </w:tc>
        <w:tc>
          <w:tcPr>
            <w:tcW w:w="944" w:type="dxa"/>
            <w:shd w:val="clear" w:color="auto" w:fill="FFF2CC" w:themeFill="accent4" w:themeFillTint="33"/>
          </w:tcPr>
          <w:p w14:paraId="2B916402"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8</w:t>
            </w:r>
          </w:p>
        </w:tc>
        <w:tc>
          <w:tcPr>
            <w:tcW w:w="5096" w:type="dxa"/>
            <w:shd w:val="clear" w:color="auto" w:fill="FFF2CC" w:themeFill="accent4" w:themeFillTint="33"/>
          </w:tcPr>
          <w:p w14:paraId="03B67A1F"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Registrar niveles de desempeño, evolución temporal y brechas entre áreas, jurisdicciones, sectores, ámbitos y niveles educativos.</w:t>
            </w:r>
          </w:p>
        </w:tc>
      </w:tr>
      <w:tr w:rsidR="001B1B55" w:rsidRPr="001B1B55" w14:paraId="3C7657CE" w14:textId="77777777" w:rsidTr="00DB41D1">
        <w:tc>
          <w:tcPr>
            <w:tcW w:w="3020" w:type="dxa"/>
            <w:shd w:val="clear" w:color="auto" w:fill="FFF2CC" w:themeFill="accent4" w:themeFillTint="33"/>
          </w:tcPr>
          <w:p w14:paraId="2A205A61"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Cobertura de la evaluación</w:t>
            </w:r>
          </w:p>
        </w:tc>
        <w:tc>
          <w:tcPr>
            <w:tcW w:w="944" w:type="dxa"/>
            <w:shd w:val="clear" w:color="auto" w:fill="FFF2CC" w:themeFill="accent4" w:themeFillTint="33"/>
          </w:tcPr>
          <w:p w14:paraId="36380737"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5</w:t>
            </w:r>
          </w:p>
        </w:tc>
        <w:tc>
          <w:tcPr>
            <w:tcW w:w="5096" w:type="dxa"/>
            <w:shd w:val="clear" w:color="auto" w:fill="FFF2CC" w:themeFill="accent4" w:themeFillTint="33"/>
          </w:tcPr>
          <w:p w14:paraId="1E79A9DD"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Examinar participación, alcance territorial, representación por sector de gestión y continuidad de las mediciones</w:t>
            </w:r>
          </w:p>
        </w:tc>
      </w:tr>
      <w:tr w:rsidR="001B1B55" w:rsidRPr="001B1B55" w14:paraId="79D27A9F" w14:textId="77777777" w:rsidTr="00DB41D1">
        <w:tc>
          <w:tcPr>
            <w:tcW w:w="3020" w:type="dxa"/>
            <w:shd w:val="clear" w:color="auto" w:fill="FFF2CC" w:themeFill="accent4" w:themeFillTint="33"/>
          </w:tcPr>
          <w:p w14:paraId="23134F7B"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Contexto y equidad educativa</w:t>
            </w:r>
          </w:p>
        </w:tc>
        <w:tc>
          <w:tcPr>
            <w:tcW w:w="944" w:type="dxa"/>
            <w:shd w:val="clear" w:color="auto" w:fill="FFF2CC" w:themeFill="accent4" w:themeFillTint="33"/>
          </w:tcPr>
          <w:p w14:paraId="36DCECC3"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8</w:t>
            </w:r>
          </w:p>
        </w:tc>
        <w:tc>
          <w:tcPr>
            <w:tcW w:w="5096" w:type="dxa"/>
            <w:shd w:val="clear" w:color="auto" w:fill="FFF2CC" w:themeFill="accent4" w:themeFillTint="33"/>
          </w:tcPr>
          <w:p w14:paraId="5473CED4"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Relacionar los resultados con condiciones socioeconómicas, territoriales, escolares y tecnológicas.</w:t>
            </w:r>
          </w:p>
        </w:tc>
      </w:tr>
      <w:tr w:rsidR="001B1B55" w:rsidRPr="001B1B55" w14:paraId="3FB103F2" w14:textId="77777777" w:rsidTr="00DB41D1">
        <w:tc>
          <w:tcPr>
            <w:tcW w:w="3020" w:type="dxa"/>
            <w:shd w:val="clear" w:color="auto" w:fill="FFF2CC" w:themeFill="accent4" w:themeFillTint="33"/>
          </w:tcPr>
          <w:p w14:paraId="1AB71D46"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Financiamiento educativo</w:t>
            </w:r>
          </w:p>
        </w:tc>
        <w:tc>
          <w:tcPr>
            <w:tcW w:w="944" w:type="dxa"/>
            <w:shd w:val="clear" w:color="auto" w:fill="FFF2CC" w:themeFill="accent4" w:themeFillTint="33"/>
          </w:tcPr>
          <w:p w14:paraId="7DEAD57A"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10</w:t>
            </w:r>
          </w:p>
        </w:tc>
        <w:tc>
          <w:tcPr>
            <w:tcW w:w="5096" w:type="dxa"/>
            <w:shd w:val="clear" w:color="auto" w:fill="FFF2CC" w:themeFill="accent4" w:themeFillTint="33"/>
          </w:tcPr>
          <w:p w14:paraId="350C9B5D"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Reconstruir volumen, evolución real, composición, procedencia y distribución de los recursos.</w:t>
            </w:r>
          </w:p>
        </w:tc>
      </w:tr>
      <w:tr w:rsidR="001B1B55" w:rsidRPr="001B1B55" w14:paraId="1F69977B" w14:textId="77777777" w:rsidTr="00DB41D1">
        <w:tc>
          <w:tcPr>
            <w:tcW w:w="3020" w:type="dxa"/>
            <w:shd w:val="clear" w:color="auto" w:fill="FFF2CC" w:themeFill="accent4" w:themeFillTint="33"/>
          </w:tcPr>
          <w:p w14:paraId="04F1277F"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Eficiencia del financiamiento</w:t>
            </w:r>
          </w:p>
        </w:tc>
        <w:tc>
          <w:tcPr>
            <w:tcW w:w="944" w:type="dxa"/>
            <w:shd w:val="clear" w:color="auto" w:fill="FFF2CC" w:themeFill="accent4" w:themeFillTint="33"/>
          </w:tcPr>
          <w:p w14:paraId="3284D8AD"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7</w:t>
            </w:r>
          </w:p>
        </w:tc>
        <w:tc>
          <w:tcPr>
            <w:tcW w:w="5096" w:type="dxa"/>
            <w:shd w:val="clear" w:color="auto" w:fill="FFF2CC" w:themeFill="accent4" w:themeFillTint="33"/>
          </w:tcPr>
          <w:p w14:paraId="2D793EC3"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Explorar correspondencias entre variaciones del gasto, condiciones educativas, trayectorias y resultados.</w:t>
            </w:r>
          </w:p>
        </w:tc>
      </w:tr>
      <w:tr w:rsidR="001B1B55" w:rsidRPr="001B1B55" w14:paraId="6C1DE796" w14:textId="77777777" w:rsidTr="00DB41D1">
        <w:tc>
          <w:tcPr>
            <w:tcW w:w="3020" w:type="dxa"/>
            <w:shd w:val="clear" w:color="auto" w:fill="FFF2CC" w:themeFill="accent4" w:themeFillTint="33"/>
          </w:tcPr>
          <w:p w14:paraId="30E51EF4"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Trayectorias y estructura del sistema</w:t>
            </w:r>
          </w:p>
        </w:tc>
        <w:tc>
          <w:tcPr>
            <w:tcW w:w="944" w:type="dxa"/>
            <w:shd w:val="clear" w:color="auto" w:fill="FFF2CC" w:themeFill="accent4" w:themeFillTint="33"/>
          </w:tcPr>
          <w:p w14:paraId="60E1453D"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p>
          <w:p w14:paraId="3D2A23C1"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10</w:t>
            </w:r>
          </w:p>
        </w:tc>
        <w:tc>
          <w:tcPr>
            <w:tcW w:w="5096" w:type="dxa"/>
            <w:shd w:val="clear" w:color="auto" w:fill="FFF2CC" w:themeFill="accent4" w:themeFillTint="33"/>
          </w:tcPr>
          <w:p w14:paraId="14AA80DA"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Observar promoción, repitencia, abandono, sobreedad, egreso, matrícula y características organizacionales.</w:t>
            </w:r>
          </w:p>
        </w:tc>
      </w:tr>
      <w:tr w:rsidR="001B1B55" w:rsidRPr="001B1B55" w14:paraId="1446D450" w14:textId="77777777" w:rsidTr="00DB41D1">
        <w:tc>
          <w:tcPr>
            <w:tcW w:w="3020" w:type="dxa"/>
            <w:shd w:val="clear" w:color="auto" w:fill="FFF2CC" w:themeFill="accent4" w:themeFillTint="33"/>
          </w:tcPr>
          <w:p w14:paraId="524A4EC4"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Condiciones institucionales para la enseñanza</w:t>
            </w:r>
          </w:p>
        </w:tc>
        <w:tc>
          <w:tcPr>
            <w:tcW w:w="944" w:type="dxa"/>
            <w:shd w:val="clear" w:color="auto" w:fill="FFF2CC" w:themeFill="accent4" w:themeFillTint="33"/>
          </w:tcPr>
          <w:p w14:paraId="07BC96FD"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p>
          <w:p w14:paraId="68F91CF5"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8</w:t>
            </w:r>
          </w:p>
        </w:tc>
        <w:tc>
          <w:tcPr>
            <w:tcW w:w="5096" w:type="dxa"/>
            <w:shd w:val="clear" w:color="auto" w:fill="FFF2CC" w:themeFill="accent4" w:themeFillTint="33"/>
          </w:tcPr>
          <w:p w14:paraId="37D8D3EC"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Registrar disponibilidad y estabilidad de recursos humanos, infraestructura, equipamiento, conectividad y formación.</w:t>
            </w:r>
          </w:p>
        </w:tc>
      </w:tr>
      <w:tr w:rsidR="001B1B55" w:rsidRPr="001B1B55" w14:paraId="0989E83C" w14:textId="77777777" w:rsidTr="00DB41D1">
        <w:tc>
          <w:tcPr>
            <w:tcW w:w="3020" w:type="dxa"/>
            <w:shd w:val="clear" w:color="auto" w:fill="FFF2CC" w:themeFill="accent4" w:themeFillTint="33"/>
          </w:tcPr>
          <w:p w14:paraId="7C4BB0CA" w14:textId="77777777" w:rsidR="001B1B55" w:rsidRPr="001B1B55" w:rsidRDefault="001B1B55" w:rsidP="001B1B55">
            <w:pPr>
              <w:spacing w:line="259" w:lineRule="auto"/>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Total</w:t>
            </w:r>
          </w:p>
        </w:tc>
        <w:tc>
          <w:tcPr>
            <w:tcW w:w="944" w:type="dxa"/>
            <w:shd w:val="clear" w:color="auto" w:fill="FFF2CC" w:themeFill="accent4" w:themeFillTint="33"/>
          </w:tcPr>
          <w:p w14:paraId="7ECA2A44" w14:textId="77777777" w:rsidR="001B1B55" w:rsidRPr="001B1B55" w:rsidRDefault="001B1B55" w:rsidP="001B1B55">
            <w:pPr>
              <w:spacing w:line="259" w:lineRule="auto"/>
              <w:jc w:val="center"/>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val="es-SV" w:eastAsia="es-SV"/>
              </w:rPr>
              <w:t>56</w:t>
            </w:r>
          </w:p>
        </w:tc>
        <w:tc>
          <w:tcPr>
            <w:tcW w:w="5096" w:type="dxa"/>
            <w:shd w:val="clear" w:color="auto" w:fill="FFF2CC" w:themeFill="accent4" w:themeFillTint="33"/>
          </w:tcPr>
          <w:p w14:paraId="2CC480B2" w14:textId="77777777" w:rsidR="001B1B55" w:rsidRPr="001B1B55" w:rsidRDefault="001B1B55" w:rsidP="001B1B55">
            <w:pPr>
              <w:spacing w:line="259" w:lineRule="auto"/>
              <w:jc w:val="both"/>
              <w:rPr>
                <w:rFonts w:ascii="Arial" w:eastAsia="Times New Roman" w:hAnsi="Arial" w:cs="Arial"/>
                <w:color w:val="000000"/>
                <w:sz w:val="20"/>
                <w:szCs w:val="20"/>
                <w:lang w:val="es-SV" w:eastAsia="es-SV"/>
              </w:rPr>
            </w:pPr>
            <w:r w:rsidRPr="001B1B55">
              <w:rPr>
                <w:rFonts w:ascii="Arial" w:eastAsia="Times New Roman" w:hAnsi="Arial" w:cs="Arial"/>
                <w:color w:val="000000"/>
                <w:sz w:val="20"/>
                <w:szCs w:val="20"/>
                <w:lang w:eastAsia="es-SV"/>
              </w:rPr>
              <w:t>Integrar las dimensiones financieras, educativas, contextuales e institucionales del caso.</w:t>
            </w:r>
          </w:p>
        </w:tc>
      </w:tr>
    </w:tbl>
    <w:p w14:paraId="0A9F08C9" w14:textId="13BBF4AF" w:rsidR="001B1B55" w:rsidRPr="001B1B55" w:rsidRDefault="001B1B55" w:rsidP="001B1B55">
      <w:pPr>
        <w:spacing w:after="0" w:line="240" w:lineRule="auto"/>
        <w:rPr>
          <w:rFonts w:ascii="Arial" w:eastAsia="Times New Roman" w:hAnsi="Arial" w:cs="Arial"/>
          <w:color w:val="000000"/>
          <w:kern w:val="0"/>
          <w:sz w:val="20"/>
          <w:szCs w:val="20"/>
          <w:lang w:val="es-SV" w:eastAsia="es-SV"/>
          <w14:ligatures w14:val="none"/>
        </w:rPr>
      </w:pPr>
      <w:r w:rsidRPr="001B1B55">
        <w:rPr>
          <w:rFonts w:ascii="Arial" w:eastAsia="Times New Roman" w:hAnsi="Arial" w:cs="Arial"/>
          <w:b/>
          <w:bCs/>
          <w:color w:val="000000"/>
          <w:kern w:val="0"/>
          <w:sz w:val="20"/>
          <w:szCs w:val="20"/>
          <w:lang w:val="es-SV" w:eastAsia="es-SV"/>
          <w14:ligatures w14:val="none"/>
        </w:rPr>
        <w:t xml:space="preserve">Fuente: </w:t>
      </w:r>
      <w:r w:rsidRPr="001B1B55">
        <w:rPr>
          <w:rFonts w:ascii="Arial" w:eastAsia="Times New Roman" w:hAnsi="Arial" w:cs="Arial"/>
          <w:color w:val="000000"/>
          <w:kern w:val="0"/>
          <w:sz w:val="20"/>
          <w:szCs w:val="20"/>
          <w:lang w:val="es-SV" w:eastAsia="es-SV"/>
          <w14:ligatures w14:val="none"/>
        </w:rPr>
        <w:t>elaboración propia de</w:t>
      </w:r>
      <w:r>
        <w:rPr>
          <w:rFonts w:ascii="Arial" w:eastAsia="Times New Roman" w:hAnsi="Arial" w:cs="Arial"/>
          <w:color w:val="000000"/>
          <w:kern w:val="0"/>
          <w:sz w:val="20"/>
          <w:szCs w:val="20"/>
          <w:lang w:val="es-SV" w:eastAsia="es-SV"/>
          <w14:ligatures w14:val="none"/>
        </w:rPr>
        <w:t>l autor</w:t>
      </w:r>
    </w:p>
    <w:p w14:paraId="1220C956" w14:textId="77777777" w:rsidR="001B1B55" w:rsidRPr="001B1B55" w:rsidRDefault="001B1B55" w:rsidP="001B1B55">
      <w:pPr>
        <w:spacing w:after="0" w:line="240" w:lineRule="auto"/>
        <w:rPr>
          <w:rFonts w:ascii="Arial" w:eastAsia="Times New Roman" w:hAnsi="Arial" w:cs="Arial"/>
          <w:color w:val="000000"/>
          <w:kern w:val="0"/>
          <w:sz w:val="20"/>
          <w:szCs w:val="20"/>
          <w:lang w:val="es-SV" w:eastAsia="es-SV"/>
          <w14:ligatures w14:val="none"/>
        </w:rPr>
      </w:pPr>
    </w:p>
    <w:p w14:paraId="0ED8923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Las dimensiones no se concibieron como compartimentos independientes. La cobertura de los operativos funciona como condición para evaluar la consistencia de los resultados de aprendizaje; las variables de contexto permiten interpretar las desigualdades observadas; y las condiciones institucionales proporcionan información sobre los procesos mediante los cuales los recursos se materializan en posibilidades concretas de enseñanza. De manera similar, los indicadores de trayectoria amplían el campo de observación más allá de las evaluaciones estandarizadas, mientras que los correspondientes a eficiencia procuran vincular series previamente validadas y no operar como mediciones aisladas.</w:t>
      </w:r>
    </w:p>
    <w:p w14:paraId="256DA3F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Para ordenar esta información se diseñó una ficha compuesta por doce campos: código, nombre y dimensión del indicador; definición conceptual; fórmula de cálculo; unidad de medida; desagregaciones posibles; fuente de datos; periodicidad; cobertura temporal; limitaciones y observaciones analíticas. Esta estructura permite que cada valor conserve la información necesaria para reconstruir su procedencia y las operaciones realizadas durante su tratamiento. La fórmula y la unidad de medida evitan utilizar bajo una misma denominación indicadores construidos de manera diferente, mientras que los campos de cobertura y limitaciones permiten documentar rupturas de serie, variaciones metodológicas o desagregaciones no disponibles.</w:t>
      </w:r>
    </w:p>
    <w:p w14:paraId="7A37203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inclusión definitiva de un indicador dependerá de seis criterios: su correspondencia con los objetivos de la investigación; la claridad de su definición; la confiabilidad de la fuente; la continuidad dentro del período estudiado; la comparabilidad entre años o poblaciones; y la posibilidad de alcanzar un nivel de desagregación pertinente. Sobre esta base, los indicadores </w:t>
      </w:r>
      <w:proofErr w:type="gramStart"/>
      <w:r w:rsidRPr="001B1B55">
        <w:rPr>
          <w:rFonts w:ascii="Arial" w:eastAsia="Times New Roman" w:hAnsi="Arial" w:cs="Arial"/>
          <w:color w:val="000000"/>
          <w:kern w:val="0"/>
          <w:sz w:val="22"/>
          <w:szCs w:val="22"/>
          <w:lang w:val="es-AR" w:eastAsia="es-SV"/>
          <w14:ligatures w14:val="none"/>
        </w:rPr>
        <w:t>serán clasificados</w:t>
      </w:r>
      <w:proofErr w:type="gramEnd"/>
      <w:r w:rsidRPr="001B1B55">
        <w:rPr>
          <w:rFonts w:ascii="Arial" w:eastAsia="Times New Roman" w:hAnsi="Arial" w:cs="Arial"/>
          <w:color w:val="000000"/>
          <w:kern w:val="0"/>
          <w:sz w:val="22"/>
          <w:szCs w:val="22"/>
          <w:lang w:val="es-AR" w:eastAsia="es-SV"/>
          <w14:ligatures w14:val="none"/>
        </w:rPr>
        <w:t xml:space="preserve"> como centrales, complementarios o </w:t>
      </w:r>
      <w:r w:rsidRPr="001B1B55">
        <w:rPr>
          <w:rFonts w:ascii="Arial" w:eastAsia="Times New Roman" w:hAnsi="Arial" w:cs="Arial"/>
          <w:color w:val="000000"/>
          <w:kern w:val="0"/>
          <w:sz w:val="22"/>
          <w:szCs w:val="22"/>
          <w:lang w:val="es-AR" w:eastAsia="es-SV"/>
          <w14:ligatures w14:val="none"/>
        </w:rPr>
        <w:lastRenderedPageBreak/>
        <w:t>exploratorios. Los primeros integrarán el núcleo de la comparación longitudinal; los segundos contribuirán a interpretar sus resultados; y los terceros permanecerán sujetos a la obtención o calidad de información adicional.</w:t>
      </w:r>
    </w:p>
    <w:p w14:paraId="2FDC3C72"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Esta clasificación es particularmente importante frente a variables conceptualmente relevantes cuya factibilidad empírica puede resultar limitada. La ausencia de información suficiente no habilitará su sustitución automática por aproximaciones débiles. Cuando se utilicen indicadores indirectos, deberá explicitarse qué dimensión representan, bajo qué supuestos se los adopta y cuáles son las restricciones de su interpretación. De esta manera, la matriz busca impedir que la disponibilidad de datos determine por sí sola el contenido del análisis.</w:t>
      </w:r>
    </w:p>
    <w:p w14:paraId="2F07A02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vinculación entre indicadores exigirá, además, compatibilizar unidades de observación, denominadores, niveles de agregación y referencias temporales. Una relación solo </w:t>
      </w:r>
      <w:proofErr w:type="gramStart"/>
      <w:r w:rsidRPr="001B1B55">
        <w:rPr>
          <w:rFonts w:ascii="Arial" w:eastAsia="Times New Roman" w:hAnsi="Arial" w:cs="Arial"/>
          <w:color w:val="000000"/>
          <w:kern w:val="0"/>
          <w:sz w:val="22"/>
          <w:szCs w:val="22"/>
          <w:lang w:val="es-AR" w:eastAsia="es-SV"/>
          <w14:ligatures w14:val="none"/>
        </w:rPr>
        <w:t>será examinada</w:t>
      </w:r>
      <w:proofErr w:type="gramEnd"/>
      <w:r w:rsidRPr="001B1B55">
        <w:rPr>
          <w:rFonts w:ascii="Arial" w:eastAsia="Times New Roman" w:hAnsi="Arial" w:cs="Arial"/>
          <w:color w:val="000000"/>
          <w:kern w:val="0"/>
          <w:sz w:val="22"/>
          <w:szCs w:val="22"/>
          <w:lang w:val="es-AR" w:eastAsia="es-SV"/>
          <w14:ligatures w14:val="none"/>
        </w:rPr>
        <w:t xml:space="preserve"> cuando las series involucradas posean condiciones mínimas de correspondencia. Las diferencias de cobertura, los años sin medición y los posibles rezagos entre recursos, productos y resultados deberán conservarse como parte de la evidencia y no ocultarse mediante interpolaciones o equivalencias no justificadas.</w:t>
      </w:r>
    </w:p>
    <w:p w14:paraId="5296ED1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avance alcanzado consiste, por lo tanto, en haber transformado las dimensiones generales del proyecto en un dispositivo verificable de búsqueda y registro. La etapa siguiente requerirá validar las fuentes, completar progresivamente las fichas y seleccionar el núcleo definitivo de indicadores. Las dificultades encontradas en ese proceso, junto con las decisiones adoptadas para reordenar el trabajo, se analizan en el apartado siguiente.</w:t>
      </w:r>
    </w:p>
    <w:p w14:paraId="0312D37E"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04484279" w14:textId="77777777" w:rsidR="001B1B55" w:rsidRPr="001B1B55" w:rsidRDefault="001B1B55" w:rsidP="001B1B55">
      <w:pPr>
        <w:spacing w:after="0" w:line="240" w:lineRule="auto"/>
        <w:jc w:val="both"/>
        <w:rPr>
          <w:rFonts w:ascii="Arial" w:eastAsia="Times New Roman" w:hAnsi="Arial" w:cs="Arial"/>
          <w:b/>
          <w:bCs/>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7. Avances preliminares, restricciones de información y reprogramación</w:t>
      </w:r>
    </w:p>
    <w:p w14:paraId="632ACA30"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estado de avance de la investigación requiere distinguir tres planos: conceptual, instrumental y empírico. Los dos primeros registran progresos sustantivos, mientras que el tercero se encuentra todavía en una fase inicial. Esta diferenciación permite valorar los resultados efectivamente alcanzados sin atribuir al proyecto conclusiones sobre la relación entre financiamiento y desempeño educativo que aún no cuentan con una base integrada de evidencia.</w:t>
      </w:r>
    </w:p>
    <w:p w14:paraId="7B9B870A"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el plano conceptual se precisaron el problema, la proposición orientadora, las unidades de análisis y observación y los criterios que permitirán examinar las relaciones entre recursos, condiciones institucionales, trayectorias y aprendizajes. En el plano instrumental se definió la arquitectura de dimensiones e indicadores, se diseñó la ficha de registro y se inició la identificación de fuentes públicas y de información cuya obtención requiere solicitudes específicas. Estos productos constituyen resultados preliminares del proceso de investigación porque establecen las condiciones necesarias para construir series comparables y someter posteriormente las relaciones propuestas a contrastación empírica.</w:t>
      </w:r>
    </w:p>
    <w:p w14:paraId="189885F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avance sobre las fuentes presenta, sin embargo, un desarrollo desigual. Una parte de la documentación normativa, presupuestaria y educativa se encuentra disponible en repositorios oficiales, aunque con diferentes niveles de detalle y continuidad. Otra permanece dispersa entre organismos, aparece publicada bajo clasificaciones que variaron a lo largo del período o requiere acceder a registros administrativos no disponibles públicamente. Estas situaciones no implican necesariamente la inexistencia de la información, pero demandan tareas adicionales de localización, solicitud, validación y compatibilización.</w:t>
      </w:r>
    </w:p>
    <w:p w14:paraId="2E582DF9"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Las modificaciones de estructuras y autoridades ocurridas en las áreas provinciales de educación y planificación incidieron particularmente sobre este proceso. Los cambios obligaron a actualizar interlocutores, reconstruir circuitos administrativos y renovar gestiones iniciadas ante dependencias cuyas competencias o responsables se modificaron. En consecuencia, el acceso a determinadas series financieras, </w:t>
      </w:r>
      <w:r w:rsidRPr="001B1B55">
        <w:rPr>
          <w:rFonts w:ascii="Arial" w:eastAsia="Times New Roman" w:hAnsi="Arial" w:cs="Arial"/>
          <w:color w:val="000000"/>
          <w:kern w:val="0"/>
          <w:sz w:val="22"/>
          <w:szCs w:val="22"/>
          <w:lang w:val="es-AR" w:eastAsia="es-SV"/>
          <w14:ligatures w14:val="none"/>
        </w:rPr>
        <w:lastRenderedPageBreak/>
        <w:t>administrativas y educativas experimentó demoras que impidieron seguir estrictamente la secuencia establecida en el cronograma original.</w:t>
      </w:r>
    </w:p>
    <w:p w14:paraId="07E869C0"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Frente a este escenario, la reprogramación adoptada diferencia actividades según sus dependencias operativas. En un primer frente se concentran las tareas realizables con documentación pública: revisión normativa, relevamiento de antecedentes, depuración de indicadores y sistematización inicial de fuentes. Un segundo frente comprende las gestiones institucionales para obtener registros no publicados y verificar criterios de producción de los datos. El tercero corresponde a la consolidación de las bases, el análisis integrado y el desarrollo del componente cualitativo, cuya ejecución requiere disponer previamente de información suficiente para orientar la selección de actores y profundizar los interrogantes de las entrevistas.</w:t>
      </w:r>
    </w:p>
    <w:p w14:paraId="7A2D986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Este reordenamiento modifica la secuencia y el ritmo de las actividades, pero mantiene el recorte temporal, los objetivos y el horizonte bienal del proyecto. También evita completar las series mediante estimaciones carentes de respaldo o iniciar comparaciones antes de establecer la equivalencia de sus componentes. La decisión de postergar determinadas operaciones constituye, en este sentido, una medida de control de calidad destinada a preservar la validez de los análisis posteriores.</w:t>
      </w:r>
    </w:p>
    <w:p w14:paraId="423BB2D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Al cierre de esta ponencia, el principal avance consiste en disponer de un problema delimitado, una estrategia analítica definida y un dispositivo operativo capaz de orientar la búsqueda y evaluación de información. El desafío inmediato reside en transformar ese dispositivo en una base empírica trazable, seleccionar el núcleo definitivo de indicadores y desarrollar el trabajo de campo. Sobre esas condiciones se sustentan los resultados y contribuciones que el proyecto espera alcanzar.</w:t>
      </w:r>
    </w:p>
    <w:p w14:paraId="074856F2"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7D3C32EA" w14:textId="77777777" w:rsidR="001B1B55" w:rsidRPr="001B1B55" w:rsidRDefault="001B1B55" w:rsidP="001B1B55">
      <w:pPr>
        <w:spacing w:after="0" w:line="240" w:lineRule="auto"/>
        <w:jc w:val="both"/>
        <w:rPr>
          <w:rFonts w:ascii="Arial" w:eastAsia="Times New Roman" w:hAnsi="Arial" w:cs="Arial"/>
          <w:b/>
          <w:bCs/>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8. Resultados esperados y contribuciones</w:t>
      </w:r>
    </w:p>
    <w:p w14:paraId="097A334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Los resultados esperados se formulan como productos de conocimiento y no como conclusiones anticipadas acerca de la relación entre financiamiento y desempeño educativo. El diseño adoptado debe permitir identificar evidencia que confirme, precise o cuestione la proposición inicial, sin presuponer que el incremento del gasto haya producido necesariamente mejoras ni que la ausencia de variaciones inmediatas constituya una prueba de improductividad.</w:t>
      </w:r>
    </w:p>
    <w:p w14:paraId="300DA61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Un primer resultado será la reconstrucción de una serie documentada del financiamiento educativo provincial correspondiente al período 2012–2022. Se espera establecer su evolución en términos reales, su comportamiento por estudiante, la participación de los recursos provinciales y nacionales y los cambios registrados en su composición. Este producto permitirá reconocer continuidades, modificaciones de prioridades y posibles diferencias entre la asignación presupuestaria y la ejecución efectiva, de acuerdo con el nivel de detalle que admitan las fuentes.</w:t>
      </w:r>
    </w:p>
    <w:p w14:paraId="16A8EFBC"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Un segundo resultado consistirá en la conformación de un conjunto comparable de indicadores educativos. La integración de información sobre aprendizajes, cobertura de los operativos y trayectorias escolares permitirá observar la evolución del sistema sin reducirla a los puntajes obtenidos en las evaluaciones. Se procura identificar brechas entre niveles, sectores de gestión, ámbitos territoriales y grupos de estudiantes, así como diferenciar las tendencias anteriores a la pandemia, las alteraciones producidas durante la emergencia sanitaria y las condiciones observadas en 2022.</w:t>
      </w:r>
    </w:p>
    <w:p w14:paraId="6A01C80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combinación de ambas bases permitirá construir configuraciones analíticas antes que asociaciones aisladas. Entre los resultados posibles se contemplan escenarios de correspondencia entre mejoras en el financiamiento y en los indicadores educativos; efectos que se manifiesten con rezagos; avances limitados a determinados niveles, territorios o grupos; y situaciones de divergencia entre recursos, condiciones institucionales y resultados. Cada configuración deberá interpretarse atendiendo a la composición del gasto, el contexto y los procesos reconstruidos mediante la evidencia cualitativa.</w:t>
      </w:r>
    </w:p>
    <w:p w14:paraId="616482D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lastRenderedPageBreak/>
        <w:t>El componente interpretativo permitirá reconocer decisiones, prácticas organizacionales y mecanismos de coordinación que inciden en el recorrido de los recursos desde su asignación hasta su expresión en bienes, servicios y condiciones de enseñanza. Se espera identificar factores que favorecen la continuidad y articulación de las intervenciones, así como puntos críticos que pueden debilitar su implementación. El propósito no es atribuir responsabilidades individuales, sino comprender cómo operan los arreglos institucionales en diferentes momentos del período.</w:t>
      </w:r>
    </w:p>
    <w:p w14:paraId="67FD9148"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investigación también espera producir conocimiento sobre la disponibilidad, organización y calidad de la información pública educativa y financiera. La identificación de series incompletas, cambios de clasificación, registros dispersos o dificultades de articulación entre organismos constituirá un resultado relevante siempre que esas situaciones sean previamente verificadas. Este relevamiento permitirá distinguir las limitaciones propias de las fuentes de las características efectivas del fenómeno analizado y aportar elementos para fortalecer los sistemas de información y seguimiento.</w:t>
      </w:r>
    </w:p>
    <w:p w14:paraId="05BB630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el plano científico, el estudio procura contribuir con evidencia situada sobre una jurisdicción escasamente abordada por investigaciones que integren financiamiento, trayectorias, aprendizajes e instituciones. Su principal aporte no radicará en ofrecer una fórmula universal de medición, sino en mostrar cómo puede reconstruirse la relación entre esas dimensiones dentro de un sistema educativo subnacional. La matriz de indicadores, el protocolo de documentación de las fuentes y la estrategia de integración podrán servir como referencias adaptables para estudios posteriores en otras jurisdicciones.</w:t>
      </w:r>
    </w:p>
    <w:p w14:paraId="00D3D92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En el plano político-institucional, los resultados podrán proporcionar insumos para revisar criterios de asignación, reconocer áreas de inversión insuficientemente atendidas, fortalecer la articulación entre planificación educativa y presupuestaria y mejorar los mecanismos de monitoreo. </w:t>
      </w:r>
    </w:p>
    <w:p w14:paraId="5A3E17BD"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proyecto posee, asimismo, una contribución formativa. La participación de docentes, profesionales y asistentes estudiantiles en las distintas fases permite desarrollar capacidades para formular problemas, examinar críticamente fuentes, construir indicadores y comunicar resultados. La base documentada, las fichas metodológicas y los productos académicos que surjan del estudio podrán utilizarse como recursos para nuevas investigaciones y actividades de formación dentro de la Universidad Nacional de Catamarca.</w:t>
      </w:r>
    </w:p>
    <w:p w14:paraId="1B218973"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En términos sociales, se espera contribuir a una discusión pública más informada acerca de la inversión educativa provincial. La evidencia obtenida permitirá desplazar el debate desde afirmaciones generales sobre la cantidad de recursos hacia preguntas verificables sobre su origen, distribución, continuidad y capacidad de atender desigualdades. De este modo, el estudio aspira a ofrecer una interpretación que reconozca simultáneamente las exigencias de responsabilidad fiscal, efectividad institucional, equidad educativa y garantía del derecho a la educación.</w:t>
      </w:r>
    </w:p>
    <w:p w14:paraId="70A2D345"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318FFDBF" w14:textId="77777777" w:rsidR="001B1B55" w:rsidRPr="001B1B55" w:rsidRDefault="001B1B55" w:rsidP="001B1B55">
      <w:pPr>
        <w:spacing w:after="0" w:line="240" w:lineRule="auto"/>
        <w:jc w:val="both"/>
        <w:rPr>
          <w:rFonts w:ascii="Arial" w:eastAsia="Times New Roman" w:hAnsi="Arial" w:cs="Arial"/>
          <w:b/>
          <w:bCs/>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9. Conclusiones</w:t>
      </w:r>
    </w:p>
    <w:p w14:paraId="7C064FA4"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Las conclusiones son necesariamente provisionales, dado el carácter inicial de la investigación, pero permiten delimitar la evidencia y las condiciones requeridas para formular afirmaciones sobre el carácter productivo del gasto educativo en Catamarca.</w:t>
      </w:r>
    </w:p>
    <w:p w14:paraId="192A3CD1"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Una primera conclusión concierne a su evaluabilidad. Antes de relacionar recursos y resultados es necesario reconstruir qué recursos fueron ejecutados, su procedencia, distribución y continuidad. Los indicadores educativos solo pueden utilizarse cuando se conocen la cobertura de las mediciones, las poblaciones evaluadas, los cambios metodológicos y los límites de comparación. La calidad y trazabilidad de la información son, por tanto, condiciones necesarias del análisis.</w:t>
      </w:r>
    </w:p>
    <w:p w14:paraId="046BE9A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lastRenderedPageBreak/>
        <w:t xml:space="preserve">La ejecución presupuestaria constituye un dato indispensable, pero no demuestra por sí sola la efectividad de una política. Entre los recursos y los resultados intervienen decisiones, procesos organizacionales y condiciones escolares que deben </w:t>
      </w:r>
      <w:proofErr w:type="gramStart"/>
      <w:r w:rsidRPr="001B1B55">
        <w:rPr>
          <w:rFonts w:ascii="Arial" w:eastAsia="Times New Roman" w:hAnsi="Arial" w:cs="Arial"/>
          <w:color w:val="000000"/>
          <w:kern w:val="0"/>
          <w:sz w:val="22"/>
          <w:szCs w:val="22"/>
          <w:lang w:val="es-AR" w:eastAsia="es-SV"/>
          <w14:ligatures w14:val="none"/>
        </w:rPr>
        <w:t>ser reconstruidos</w:t>
      </w:r>
      <w:proofErr w:type="gramEnd"/>
      <w:r w:rsidRPr="001B1B55">
        <w:rPr>
          <w:rFonts w:ascii="Arial" w:eastAsia="Times New Roman" w:hAnsi="Arial" w:cs="Arial"/>
          <w:color w:val="000000"/>
          <w:kern w:val="0"/>
          <w:sz w:val="22"/>
          <w:szCs w:val="22"/>
          <w:lang w:val="es-AR" w:eastAsia="es-SV"/>
          <w14:ligatures w14:val="none"/>
        </w:rPr>
        <w:t>. Confrontar directamente el presupuesto global con los puntajes produciría interpretaciones incompletas, especialmente ante diferencias territoriales, cambios en la composición del gasto o efectos diferidos.</w:t>
      </w:r>
    </w:p>
    <w:p w14:paraId="3AF08430"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construcción de la matriz confirmó que un indicador no adquiere validez únicamente por provenir de una fuente oficial. Su incorporación exige precisar qué representa, cómo se calcula, su unidad de medida, la población comprendida y las condiciones de comparabilidad. La matriz opera, así, como un control de las inferencias: obliga a documentar vacíos, rupturas y transformaciones y evita equiparar datos elaborados mediante procedimientos diferentes.</w:t>
      </w:r>
    </w:p>
    <w:p w14:paraId="380C0652"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El proyecto aún no aporta evidencia suficiente para confirmar o rechazar su proposición. El principal resultado de esta etapa consiste en haber transformado un problema amplio en una estrategia susceptible de contrastación, con dimensiones definidas, criterios de selección de indicadores y procedimientos para integrar información financiera, educativa e institucional. Las dificultades de acceso muestran que la producción, preservación y disponibilidad de información forman parte de las condiciones institucionales de la política educativa, aunque no pueden interpretarse automáticamente como debilidad estatal sin ser verificadas y contextualizadas.</w:t>
      </w:r>
    </w:p>
    <w:p w14:paraId="405B4C4F"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La reprogramación permitió ordenar las actividades según su dependencia de fuentes públicas, solicitudes institucionales o bases previamente consolidadas, manteniendo los objetivos del proyecto. Asimismo, la participación progresiva de investigadores y asistentes estudiantiles convirtió la construcción de criterios y protocolos comunes en una condición para la consistencia del trabajo colectivo.</w:t>
      </w:r>
    </w:p>
    <w:p w14:paraId="098B4859"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La próxima etapa deberá validar las fuentes, completar las fichas, seleccionar el núcleo definitivo de indicadores y consolidar las series de 2012–2022. Solo entonces podrán examinarse configuraciones de correspondencia, rezago o divergencia y orientar el componente cualitativo hacia los procesos que requieran explicación. </w:t>
      </w:r>
    </w:p>
    <w:p w14:paraId="3F63230C"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Finalmente, reconocer la educación como derecho y bien público impide reducir su valoración a una relación contable entre costos y resultados, pero no exime a las políticas educativas del análisis de su financiamiento, implementación y efectividad. Examinar cómo se utilizan los recursos y en qué condiciones producen oportunidades más equitativas constituye una dimensión de la responsabilidad estatal y del control democrático. La ponencia presenta el dispositivo construido para abordar ese interrogante y los criterios con los que deberán evaluarse las evidencias obtenidas.</w:t>
      </w:r>
    </w:p>
    <w:p w14:paraId="59445D59" w14:textId="77777777" w:rsidR="001B1B55" w:rsidRPr="001B1B55" w:rsidRDefault="001B1B55" w:rsidP="001B1B55">
      <w:pPr>
        <w:spacing w:after="0" w:line="240" w:lineRule="auto"/>
        <w:jc w:val="both"/>
        <w:rPr>
          <w:rFonts w:ascii="Arial" w:eastAsia="Times New Roman" w:hAnsi="Arial" w:cs="Arial"/>
          <w:color w:val="000000"/>
          <w:kern w:val="0"/>
          <w:sz w:val="22"/>
          <w:szCs w:val="22"/>
          <w:lang w:val="es-AR" w:eastAsia="es-SV"/>
          <w14:ligatures w14:val="none"/>
        </w:rPr>
      </w:pPr>
    </w:p>
    <w:p w14:paraId="2EBDFEF1" w14:textId="77777777" w:rsidR="001B1B55" w:rsidRPr="001B1B55" w:rsidRDefault="001B1B55" w:rsidP="001B1B55">
      <w:pPr>
        <w:spacing w:after="0" w:line="240" w:lineRule="auto"/>
        <w:jc w:val="both"/>
        <w:rPr>
          <w:rFonts w:ascii="Arial" w:eastAsia="Times New Roman" w:hAnsi="Arial" w:cs="Arial"/>
          <w:b/>
          <w:bCs/>
          <w:color w:val="000000"/>
          <w:kern w:val="0"/>
          <w:lang w:val="es-AR" w:eastAsia="es-SV"/>
          <w14:ligatures w14:val="none"/>
        </w:rPr>
      </w:pPr>
      <w:r w:rsidRPr="001B1B55">
        <w:rPr>
          <w:rFonts w:ascii="Arial" w:eastAsia="Times New Roman" w:hAnsi="Arial" w:cs="Arial"/>
          <w:b/>
          <w:bCs/>
          <w:color w:val="000000"/>
          <w:kern w:val="0"/>
          <w:lang w:val="es-AR" w:eastAsia="es-SV"/>
          <w14:ligatures w14:val="none"/>
        </w:rPr>
        <w:t xml:space="preserve">10. Referencias </w:t>
      </w:r>
    </w:p>
    <w:p w14:paraId="49EA34B3"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Banco Mundial. (2017). </w:t>
      </w:r>
      <w:r w:rsidRPr="001B1B55">
        <w:rPr>
          <w:rFonts w:ascii="Arial" w:eastAsia="Times New Roman" w:hAnsi="Arial" w:cs="Arial"/>
          <w:i/>
          <w:iCs/>
          <w:color w:val="000000"/>
          <w:kern w:val="0"/>
          <w:sz w:val="22"/>
          <w:szCs w:val="22"/>
          <w:lang w:val="es-AR" w:eastAsia="es-SV"/>
          <w14:ligatures w14:val="none"/>
        </w:rPr>
        <w:t>Education public expenditure review guidelines</w:t>
      </w:r>
      <w:r w:rsidRPr="001B1B55">
        <w:rPr>
          <w:rFonts w:ascii="Arial" w:eastAsia="Times New Roman" w:hAnsi="Arial" w:cs="Arial"/>
          <w:color w:val="000000"/>
          <w:kern w:val="0"/>
          <w:sz w:val="22"/>
          <w:szCs w:val="22"/>
          <w:lang w:val="es-AR" w:eastAsia="es-SV"/>
          <w14:ligatures w14:val="none"/>
        </w:rPr>
        <w:t xml:space="preserve">. </w:t>
      </w:r>
      <w:hyperlink r:id="rId6" w:history="1">
        <w:r w:rsidRPr="001B1B55">
          <w:rPr>
            <w:rFonts w:ascii="Arial" w:eastAsia="Times New Roman" w:hAnsi="Arial" w:cs="Arial"/>
            <w:color w:val="0563C1" w:themeColor="hyperlink"/>
            <w:kern w:val="0"/>
            <w:sz w:val="22"/>
            <w:szCs w:val="22"/>
            <w:u w:val="single"/>
            <w:lang w:val="es-AR" w:eastAsia="es-SV"/>
            <w14:ligatures w14:val="none"/>
          </w:rPr>
          <w:t>https://hdl.handle.net/10986/27264</w:t>
        </w:r>
      </w:hyperlink>
    </w:p>
    <w:p w14:paraId="38F48601"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Banco Mundial, &amp; UNESCO. (2023). </w:t>
      </w:r>
      <w:r w:rsidRPr="001B1B55">
        <w:rPr>
          <w:rFonts w:ascii="Arial" w:eastAsia="Times New Roman" w:hAnsi="Arial" w:cs="Arial"/>
          <w:i/>
          <w:iCs/>
          <w:color w:val="000000"/>
          <w:kern w:val="0"/>
          <w:sz w:val="22"/>
          <w:szCs w:val="22"/>
          <w:lang w:val="es-AR" w:eastAsia="es-SV"/>
          <w14:ligatures w14:val="none"/>
        </w:rPr>
        <w:t>Education finance watch 2023</w:t>
      </w:r>
      <w:r w:rsidRPr="001B1B55">
        <w:rPr>
          <w:rFonts w:ascii="Arial" w:eastAsia="Times New Roman" w:hAnsi="Arial" w:cs="Arial"/>
          <w:color w:val="000000"/>
          <w:kern w:val="0"/>
          <w:sz w:val="22"/>
          <w:szCs w:val="22"/>
          <w:lang w:val="es-AR" w:eastAsia="es-SV"/>
          <w14:ligatures w14:val="none"/>
        </w:rPr>
        <w:t xml:space="preserve">. </w:t>
      </w:r>
      <w:hyperlink r:id="rId7" w:history="1">
        <w:r w:rsidRPr="001B1B55">
          <w:rPr>
            <w:rFonts w:ascii="Arial" w:eastAsia="Times New Roman" w:hAnsi="Arial" w:cs="Arial"/>
            <w:color w:val="0563C1" w:themeColor="hyperlink"/>
            <w:kern w:val="0"/>
            <w:sz w:val="22"/>
            <w:szCs w:val="22"/>
            <w:u w:val="single"/>
            <w:lang w:val="es-AR" w:eastAsia="es-SV"/>
            <w14:ligatures w14:val="none"/>
          </w:rPr>
          <w:t>https://hdl.handle.net/10986/40610</w:t>
        </w:r>
      </w:hyperlink>
    </w:p>
    <w:p w14:paraId="17C59913"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Bertranou, J. (2015). Capacidad estatal: Revisión del concepto y algunos ejes de análisis y debate. </w:t>
      </w:r>
      <w:r w:rsidRPr="001B1B55">
        <w:rPr>
          <w:rFonts w:ascii="Arial" w:eastAsia="Times New Roman" w:hAnsi="Arial" w:cs="Arial"/>
          <w:i/>
          <w:iCs/>
          <w:color w:val="000000"/>
          <w:kern w:val="0"/>
          <w:sz w:val="22"/>
          <w:szCs w:val="22"/>
          <w:lang w:val="es-AR" w:eastAsia="es-SV"/>
          <w14:ligatures w14:val="none"/>
        </w:rPr>
        <w:t>Revista Estado y Políticas Públicas, 3</w:t>
      </w:r>
      <w:r w:rsidRPr="001B1B55">
        <w:rPr>
          <w:rFonts w:ascii="Arial" w:eastAsia="Times New Roman" w:hAnsi="Arial" w:cs="Arial"/>
          <w:color w:val="000000"/>
          <w:kern w:val="0"/>
          <w:sz w:val="22"/>
          <w:szCs w:val="22"/>
          <w:lang w:val="es-AR" w:eastAsia="es-SV"/>
          <w14:ligatures w14:val="none"/>
        </w:rPr>
        <w:t xml:space="preserve">(4), 37–59. </w:t>
      </w:r>
      <w:hyperlink r:id="rId8" w:history="1">
        <w:r w:rsidRPr="001B1B55">
          <w:rPr>
            <w:rFonts w:ascii="Arial" w:eastAsia="Times New Roman" w:hAnsi="Arial" w:cs="Arial"/>
            <w:color w:val="0563C1" w:themeColor="hyperlink"/>
            <w:kern w:val="0"/>
            <w:sz w:val="22"/>
            <w:szCs w:val="22"/>
            <w:u w:val="single"/>
            <w:lang w:val="es-AR" w:eastAsia="es-SV"/>
            <w14:ligatures w14:val="none"/>
          </w:rPr>
          <w:t>https://hdl.handle.net/10469/8788</w:t>
        </w:r>
      </w:hyperlink>
    </w:p>
    <w:p w14:paraId="128E3709"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Comisión Económica para América Latina y el Caribe, &amp; Fondo de las Naciones Unidas para la Infancia. (2025). </w:t>
      </w:r>
      <w:r w:rsidRPr="001B1B55">
        <w:rPr>
          <w:rFonts w:ascii="Arial" w:eastAsia="Times New Roman" w:hAnsi="Arial" w:cs="Arial"/>
          <w:i/>
          <w:iCs/>
          <w:color w:val="000000"/>
          <w:kern w:val="0"/>
          <w:sz w:val="22"/>
          <w:szCs w:val="22"/>
          <w:lang w:val="es-AR" w:eastAsia="es-SV"/>
          <w14:ligatures w14:val="none"/>
        </w:rPr>
        <w:t>Sostenibilidad financiera, equidad y eficiencia de la inversión educativa como requisitos habilitantes para la transformación educativa en América Latina y el Caribe</w:t>
      </w:r>
      <w:r w:rsidRPr="001B1B55">
        <w:rPr>
          <w:rFonts w:ascii="Arial" w:eastAsia="Times New Roman" w:hAnsi="Arial" w:cs="Arial"/>
          <w:color w:val="000000"/>
          <w:kern w:val="0"/>
          <w:sz w:val="22"/>
          <w:szCs w:val="22"/>
          <w:lang w:val="es-AR" w:eastAsia="es-SV"/>
          <w14:ligatures w14:val="none"/>
        </w:rPr>
        <w:t xml:space="preserve"> (LC/TS.2025/59). </w:t>
      </w:r>
      <w:hyperlink r:id="rId9" w:history="1">
        <w:r w:rsidRPr="001B1B55">
          <w:rPr>
            <w:rFonts w:ascii="Arial" w:eastAsia="Times New Roman" w:hAnsi="Arial" w:cs="Arial"/>
            <w:color w:val="0563C1" w:themeColor="hyperlink"/>
            <w:kern w:val="0"/>
            <w:sz w:val="22"/>
            <w:szCs w:val="22"/>
            <w:u w:val="single"/>
            <w:lang w:val="es-AR" w:eastAsia="es-SV"/>
            <w14:ligatures w14:val="none"/>
          </w:rPr>
          <w:t>https://www.cepal.org/es/publicaciones/82515-sostenibilidad-financiera-equidad-eficiencia-la-inversion-educativa-como</w:t>
        </w:r>
      </w:hyperlink>
    </w:p>
    <w:p w14:paraId="74E21288"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Creswell, J. W., &amp; Plano Clark, V. L. (2018). </w:t>
      </w:r>
      <w:r w:rsidRPr="001B1B55">
        <w:rPr>
          <w:rFonts w:ascii="Arial" w:eastAsia="Times New Roman" w:hAnsi="Arial" w:cs="Arial"/>
          <w:i/>
          <w:iCs/>
          <w:color w:val="000000"/>
          <w:kern w:val="0"/>
          <w:sz w:val="22"/>
          <w:szCs w:val="22"/>
          <w:lang w:val="es-AR" w:eastAsia="es-SV"/>
          <w14:ligatures w14:val="none"/>
        </w:rPr>
        <w:t>Designing and conducting mixed methods research</w:t>
      </w:r>
      <w:r w:rsidRPr="001B1B55">
        <w:rPr>
          <w:rFonts w:ascii="Arial" w:eastAsia="Times New Roman" w:hAnsi="Arial" w:cs="Arial"/>
          <w:color w:val="000000"/>
          <w:kern w:val="0"/>
          <w:sz w:val="22"/>
          <w:szCs w:val="22"/>
          <w:lang w:val="es-AR" w:eastAsia="es-SV"/>
          <w14:ligatures w14:val="none"/>
        </w:rPr>
        <w:t xml:space="preserve"> (3.ª ed.). SAGE Publications.</w:t>
      </w:r>
    </w:p>
    <w:p w14:paraId="1FEDE970"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lastRenderedPageBreak/>
        <w:t xml:space="preserve">Decreto ECyT N.º 55/2011. Dispónese la puesta en marcha de la nueva estructura del Sistema Educativo Provincial. (2011, 21 de febrero). Gobierno de la Provincia de Catamarca. </w:t>
      </w:r>
      <w:hyperlink r:id="rId10" w:history="1">
        <w:r w:rsidRPr="001B1B55">
          <w:rPr>
            <w:rFonts w:ascii="Arial" w:eastAsia="Times New Roman" w:hAnsi="Arial" w:cs="Arial"/>
            <w:color w:val="0563C1" w:themeColor="hyperlink"/>
            <w:kern w:val="0"/>
            <w:sz w:val="22"/>
            <w:szCs w:val="22"/>
            <w:u w:val="single"/>
            <w:lang w:val="es-AR" w:eastAsia="es-SV"/>
            <w14:ligatures w14:val="none"/>
          </w:rPr>
          <w:t>https://digesto.catamarca.gob.ar/decreto/decreto_detail/4176</w:t>
        </w:r>
      </w:hyperlink>
    </w:p>
    <w:p w14:paraId="0521353F"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Hanushek, E. A. (2003). The failure of input-based schooling policies. </w:t>
      </w:r>
      <w:r w:rsidRPr="001B1B55">
        <w:rPr>
          <w:rFonts w:ascii="Arial" w:eastAsia="Times New Roman" w:hAnsi="Arial" w:cs="Arial"/>
          <w:i/>
          <w:iCs/>
          <w:color w:val="000000"/>
          <w:kern w:val="0"/>
          <w:sz w:val="22"/>
          <w:szCs w:val="22"/>
          <w:lang w:val="es-AR" w:eastAsia="es-SV"/>
          <w14:ligatures w14:val="none"/>
        </w:rPr>
        <w:t>The Economic Journal, 113</w:t>
      </w:r>
      <w:r w:rsidRPr="001B1B55">
        <w:rPr>
          <w:rFonts w:ascii="Arial" w:eastAsia="Times New Roman" w:hAnsi="Arial" w:cs="Arial"/>
          <w:color w:val="000000"/>
          <w:kern w:val="0"/>
          <w:sz w:val="22"/>
          <w:szCs w:val="22"/>
          <w:lang w:val="es-AR" w:eastAsia="es-SV"/>
          <w14:ligatures w14:val="none"/>
        </w:rPr>
        <w:t xml:space="preserve">(485), F64–F98. </w:t>
      </w:r>
      <w:hyperlink r:id="rId11" w:history="1">
        <w:r w:rsidRPr="001B1B55">
          <w:rPr>
            <w:rFonts w:ascii="Arial" w:eastAsia="Times New Roman" w:hAnsi="Arial" w:cs="Arial"/>
            <w:color w:val="0563C1" w:themeColor="hyperlink"/>
            <w:kern w:val="0"/>
            <w:sz w:val="22"/>
            <w:szCs w:val="22"/>
            <w:u w:val="single"/>
            <w:lang w:val="es-AR" w:eastAsia="es-SV"/>
            <w14:ligatures w14:val="none"/>
          </w:rPr>
          <w:t>https://doi.org/10.1111/1468-0297.00099</w:t>
        </w:r>
      </w:hyperlink>
    </w:p>
    <w:p w14:paraId="66047745"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Jackson, C. K., Johnson, R. C., &amp; Persico, C. (2016). The effects of school spending on educational and economic outcomes: Evidence from school finance reforms. </w:t>
      </w:r>
      <w:r w:rsidRPr="001B1B55">
        <w:rPr>
          <w:rFonts w:ascii="Arial" w:eastAsia="Times New Roman" w:hAnsi="Arial" w:cs="Arial"/>
          <w:i/>
          <w:iCs/>
          <w:color w:val="000000"/>
          <w:kern w:val="0"/>
          <w:sz w:val="22"/>
          <w:szCs w:val="22"/>
          <w:lang w:val="es-AR" w:eastAsia="es-SV"/>
          <w14:ligatures w14:val="none"/>
        </w:rPr>
        <w:t>The Quarterly Journal of Economics, 131</w:t>
      </w:r>
      <w:r w:rsidRPr="001B1B55">
        <w:rPr>
          <w:rFonts w:ascii="Arial" w:eastAsia="Times New Roman" w:hAnsi="Arial" w:cs="Arial"/>
          <w:color w:val="000000"/>
          <w:kern w:val="0"/>
          <w:sz w:val="22"/>
          <w:szCs w:val="22"/>
          <w:lang w:val="es-AR" w:eastAsia="es-SV"/>
          <w14:ligatures w14:val="none"/>
        </w:rPr>
        <w:t xml:space="preserve">(1), 157–218. </w:t>
      </w:r>
      <w:hyperlink r:id="rId12" w:history="1">
        <w:r w:rsidRPr="001B1B55">
          <w:rPr>
            <w:rFonts w:ascii="Arial" w:eastAsia="Times New Roman" w:hAnsi="Arial" w:cs="Arial"/>
            <w:color w:val="0563C1" w:themeColor="hyperlink"/>
            <w:kern w:val="0"/>
            <w:sz w:val="22"/>
            <w:szCs w:val="22"/>
            <w:u w:val="single"/>
            <w:lang w:val="es-AR" w:eastAsia="es-SV"/>
            <w14:ligatures w14:val="none"/>
          </w:rPr>
          <w:t>https://doi.org/10.1093/qje/qjv036</w:t>
        </w:r>
      </w:hyperlink>
    </w:p>
    <w:p w14:paraId="5460738C"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Ley 26.075 de Financiamiento Educativo. (2005, 21 de diciembre). </w:t>
      </w:r>
      <w:r w:rsidRPr="001B1B55">
        <w:rPr>
          <w:rFonts w:ascii="Arial" w:eastAsia="Times New Roman" w:hAnsi="Arial" w:cs="Arial"/>
          <w:i/>
          <w:iCs/>
          <w:color w:val="000000"/>
          <w:kern w:val="0"/>
          <w:sz w:val="22"/>
          <w:szCs w:val="22"/>
          <w:lang w:val="es-AR" w:eastAsia="es-SV"/>
          <w14:ligatures w14:val="none"/>
        </w:rPr>
        <w:t>Boletín Oficial de la República Argentina</w:t>
      </w:r>
      <w:r w:rsidRPr="001B1B55">
        <w:rPr>
          <w:rFonts w:ascii="Arial" w:eastAsia="Times New Roman" w:hAnsi="Arial" w:cs="Arial"/>
          <w:color w:val="000000"/>
          <w:kern w:val="0"/>
          <w:sz w:val="22"/>
          <w:szCs w:val="22"/>
          <w:lang w:val="es-AR" w:eastAsia="es-SV"/>
          <w14:ligatures w14:val="none"/>
        </w:rPr>
        <w:t xml:space="preserve">. </w:t>
      </w:r>
      <w:hyperlink r:id="rId13" w:history="1">
        <w:r w:rsidRPr="001B1B55">
          <w:rPr>
            <w:rFonts w:ascii="Arial" w:eastAsia="Times New Roman" w:hAnsi="Arial" w:cs="Arial"/>
            <w:color w:val="0563C1" w:themeColor="hyperlink"/>
            <w:kern w:val="0"/>
            <w:sz w:val="22"/>
            <w:szCs w:val="22"/>
            <w:u w:val="single"/>
            <w:lang w:val="es-AR" w:eastAsia="es-SV"/>
            <w14:ligatures w14:val="none"/>
          </w:rPr>
          <w:t>https://www.argentina.gob.ar/normativa/nacional/norma-112976/texto</w:t>
        </w:r>
      </w:hyperlink>
    </w:p>
    <w:p w14:paraId="133DA7C4"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Ley 26.206 de Educación Nacional. (2006, 14 de diciembre). </w:t>
      </w:r>
      <w:r w:rsidRPr="001B1B55">
        <w:rPr>
          <w:rFonts w:ascii="Arial" w:eastAsia="Times New Roman" w:hAnsi="Arial" w:cs="Arial"/>
          <w:i/>
          <w:iCs/>
          <w:color w:val="000000"/>
          <w:kern w:val="0"/>
          <w:sz w:val="22"/>
          <w:szCs w:val="22"/>
          <w:lang w:val="es-AR" w:eastAsia="es-SV"/>
          <w14:ligatures w14:val="none"/>
        </w:rPr>
        <w:t>Boletín Oficial de la República Argentina</w:t>
      </w:r>
      <w:r w:rsidRPr="001B1B55">
        <w:rPr>
          <w:rFonts w:ascii="Arial" w:eastAsia="Times New Roman" w:hAnsi="Arial" w:cs="Arial"/>
          <w:color w:val="000000"/>
          <w:kern w:val="0"/>
          <w:sz w:val="22"/>
          <w:szCs w:val="22"/>
          <w:lang w:val="es-AR" w:eastAsia="es-SV"/>
          <w14:ligatures w14:val="none"/>
        </w:rPr>
        <w:t xml:space="preserve">. </w:t>
      </w:r>
      <w:hyperlink r:id="rId14" w:history="1">
        <w:r w:rsidRPr="001B1B55">
          <w:rPr>
            <w:rFonts w:ascii="Arial" w:eastAsia="Times New Roman" w:hAnsi="Arial" w:cs="Arial"/>
            <w:color w:val="0563C1" w:themeColor="hyperlink"/>
            <w:kern w:val="0"/>
            <w:sz w:val="22"/>
            <w:szCs w:val="22"/>
            <w:u w:val="single"/>
            <w:lang w:val="es-AR" w:eastAsia="es-SV"/>
            <w14:ligatures w14:val="none"/>
          </w:rPr>
          <w:t>https://servicios.infoleg.gob.ar/infolegInternet/anexos/120000-124999/123542/norma.htm</w:t>
        </w:r>
      </w:hyperlink>
    </w:p>
    <w:p w14:paraId="3F59BEE1"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Ley Provincial N.º 5.302. Adhesión de la Provincia de Catamarca a la Ley N.º 26.206 de Educación Nacional. (2010, 8 de enero). </w:t>
      </w:r>
      <w:r w:rsidRPr="001B1B55">
        <w:rPr>
          <w:rFonts w:ascii="Arial" w:eastAsia="Times New Roman" w:hAnsi="Arial" w:cs="Arial"/>
          <w:i/>
          <w:iCs/>
          <w:color w:val="000000"/>
          <w:kern w:val="0"/>
          <w:sz w:val="22"/>
          <w:szCs w:val="22"/>
          <w:lang w:val="es-AR" w:eastAsia="es-SV"/>
          <w14:ligatures w14:val="none"/>
        </w:rPr>
        <w:t>Digesto Legislativo de la Provincia de Catamarca</w:t>
      </w:r>
      <w:r w:rsidRPr="001B1B55">
        <w:rPr>
          <w:rFonts w:ascii="Arial" w:eastAsia="Times New Roman" w:hAnsi="Arial" w:cs="Arial"/>
          <w:color w:val="000000"/>
          <w:kern w:val="0"/>
          <w:sz w:val="22"/>
          <w:szCs w:val="22"/>
          <w:lang w:val="es-AR" w:eastAsia="es-SV"/>
          <w14:ligatures w14:val="none"/>
        </w:rPr>
        <w:t xml:space="preserve">. </w:t>
      </w:r>
      <w:hyperlink r:id="rId15" w:history="1">
        <w:r w:rsidRPr="001B1B55">
          <w:rPr>
            <w:rFonts w:ascii="Arial" w:eastAsia="Times New Roman" w:hAnsi="Arial" w:cs="Arial"/>
            <w:color w:val="0563C1" w:themeColor="hyperlink"/>
            <w:kern w:val="0"/>
            <w:sz w:val="22"/>
            <w:szCs w:val="22"/>
            <w:u w:val="single"/>
            <w:lang w:val="es-AR" w:eastAsia="es-SV"/>
            <w14:ligatures w14:val="none"/>
          </w:rPr>
          <w:t>https://digesto.catamarca.gob.ar/ley/ley_detail/199</w:t>
        </w:r>
      </w:hyperlink>
    </w:p>
    <w:p w14:paraId="70FC8BD0"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Ministerio de Educación de la Nación. (s. f.). </w:t>
      </w:r>
      <w:r w:rsidRPr="001B1B55">
        <w:rPr>
          <w:rFonts w:ascii="Arial" w:eastAsia="Times New Roman" w:hAnsi="Arial" w:cs="Arial"/>
          <w:i/>
          <w:iCs/>
          <w:color w:val="000000"/>
          <w:kern w:val="0"/>
          <w:sz w:val="22"/>
          <w:szCs w:val="22"/>
          <w:lang w:val="es-AR" w:eastAsia="es-SV"/>
          <w14:ligatures w14:val="none"/>
        </w:rPr>
        <w:t>Aprender</w:t>
      </w:r>
      <w:r w:rsidRPr="001B1B55">
        <w:rPr>
          <w:rFonts w:ascii="Arial" w:eastAsia="Times New Roman" w:hAnsi="Arial" w:cs="Arial"/>
          <w:color w:val="000000"/>
          <w:kern w:val="0"/>
          <w:sz w:val="22"/>
          <w:szCs w:val="22"/>
          <w:lang w:val="es-AR" w:eastAsia="es-SV"/>
          <w14:ligatures w14:val="none"/>
        </w:rPr>
        <w:t xml:space="preserve">. Argentina.gob.ar. Recuperado el 7 de septiembre de 2026, de </w:t>
      </w:r>
      <w:hyperlink r:id="rId16" w:history="1">
        <w:r w:rsidRPr="001B1B55">
          <w:rPr>
            <w:rFonts w:ascii="Arial" w:eastAsia="Times New Roman" w:hAnsi="Arial" w:cs="Arial"/>
            <w:color w:val="0563C1" w:themeColor="hyperlink"/>
            <w:kern w:val="0"/>
            <w:sz w:val="22"/>
            <w:szCs w:val="22"/>
            <w:u w:val="single"/>
            <w:lang w:val="es-AR" w:eastAsia="es-SV"/>
            <w14:ligatures w14:val="none"/>
          </w:rPr>
          <w:t>https://www.argentina.gob.ar/educacion/evaluacion-informacion-educativa/aprender</w:t>
        </w:r>
      </w:hyperlink>
    </w:p>
    <w:p w14:paraId="238C8EBE"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Repetto, F. (2004). </w:t>
      </w:r>
      <w:r w:rsidRPr="001B1B55">
        <w:rPr>
          <w:rFonts w:ascii="Arial" w:eastAsia="Times New Roman" w:hAnsi="Arial" w:cs="Arial"/>
          <w:i/>
          <w:iCs/>
          <w:color w:val="000000"/>
          <w:kern w:val="0"/>
          <w:sz w:val="22"/>
          <w:szCs w:val="22"/>
          <w:lang w:val="es-AR" w:eastAsia="es-SV"/>
          <w14:ligatures w14:val="none"/>
        </w:rPr>
        <w:t>Capacidad estatal: Requisito para el mejoramiento de la política social en América Latina</w:t>
      </w:r>
      <w:r w:rsidRPr="001B1B55">
        <w:rPr>
          <w:rFonts w:ascii="Arial" w:eastAsia="Times New Roman" w:hAnsi="Arial" w:cs="Arial"/>
          <w:color w:val="000000"/>
          <w:kern w:val="0"/>
          <w:sz w:val="22"/>
          <w:szCs w:val="22"/>
          <w:lang w:val="es-AR" w:eastAsia="es-SV"/>
          <w14:ligatures w14:val="none"/>
        </w:rPr>
        <w:t xml:space="preserve"> (Documento de Trabajo I-52). Banco Interamericano de Desarrollo. </w:t>
      </w:r>
      <w:hyperlink r:id="rId17" w:history="1">
        <w:r w:rsidRPr="001B1B55">
          <w:rPr>
            <w:rFonts w:ascii="Arial" w:eastAsia="Times New Roman" w:hAnsi="Arial" w:cs="Arial"/>
            <w:color w:val="0563C1" w:themeColor="hyperlink"/>
            <w:kern w:val="0"/>
            <w:sz w:val="22"/>
            <w:szCs w:val="22"/>
            <w:u w:val="single"/>
            <w:lang w:val="es-AR" w:eastAsia="es-SV"/>
            <w14:ligatures w14:val="none"/>
          </w:rPr>
          <w:t>https://doi.org/10.18235/0012049</w:t>
        </w:r>
      </w:hyperlink>
    </w:p>
    <w:p w14:paraId="624CE351" w14:textId="77777777" w:rsidR="001B1B55" w:rsidRPr="001B1B55" w:rsidRDefault="001B1B55" w:rsidP="001B1B55">
      <w:pPr>
        <w:spacing w:after="0" w:line="240" w:lineRule="auto"/>
        <w:ind w:left="709" w:hanging="709"/>
        <w:jc w:val="both"/>
        <w:rPr>
          <w:rFonts w:ascii="Arial" w:eastAsia="Times New Roman" w:hAnsi="Arial" w:cs="Arial"/>
          <w:color w:val="000000"/>
          <w:kern w:val="0"/>
          <w:sz w:val="22"/>
          <w:szCs w:val="22"/>
          <w:lang w:val="es-AR" w:eastAsia="es-SV"/>
          <w14:ligatures w14:val="none"/>
        </w:rPr>
      </w:pPr>
      <w:r w:rsidRPr="001B1B55">
        <w:rPr>
          <w:rFonts w:ascii="Arial" w:eastAsia="Times New Roman" w:hAnsi="Arial" w:cs="Arial"/>
          <w:color w:val="000000"/>
          <w:kern w:val="0"/>
          <w:sz w:val="22"/>
          <w:szCs w:val="22"/>
          <w:lang w:val="es-AR" w:eastAsia="es-SV"/>
          <w14:ligatures w14:val="none"/>
        </w:rPr>
        <w:t xml:space="preserve">Yin, R. K. (2018). </w:t>
      </w:r>
      <w:r w:rsidRPr="001B1B55">
        <w:rPr>
          <w:rFonts w:ascii="Arial" w:eastAsia="Times New Roman" w:hAnsi="Arial" w:cs="Arial"/>
          <w:i/>
          <w:iCs/>
          <w:color w:val="000000"/>
          <w:kern w:val="0"/>
          <w:sz w:val="22"/>
          <w:szCs w:val="22"/>
          <w:lang w:val="es-AR" w:eastAsia="es-SV"/>
          <w14:ligatures w14:val="none"/>
        </w:rPr>
        <w:t>Case study research and applications: Design and methods</w:t>
      </w:r>
      <w:r w:rsidRPr="001B1B55">
        <w:rPr>
          <w:rFonts w:ascii="Arial" w:eastAsia="Times New Roman" w:hAnsi="Arial" w:cs="Arial"/>
          <w:color w:val="000000"/>
          <w:kern w:val="0"/>
          <w:sz w:val="22"/>
          <w:szCs w:val="22"/>
          <w:lang w:val="es-AR" w:eastAsia="es-SV"/>
          <w14:ligatures w14:val="none"/>
        </w:rPr>
        <w:t xml:space="preserve"> (6.ª ed.). SAGE Publications.</w:t>
      </w:r>
    </w:p>
    <w:p w14:paraId="642C3795" w14:textId="77777777" w:rsidR="0019567E" w:rsidRPr="0019567E" w:rsidRDefault="0019567E" w:rsidP="0019567E">
      <w:pPr>
        <w:jc w:val="center"/>
        <w:rPr>
          <w:b/>
          <w:bCs/>
          <w:sz w:val="28"/>
          <w:szCs w:val="28"/>
          <w:lang w:val="es-AR"/>
        </w:rPr>
      </w:pPr>
    </w:p>
    <w:p w14:paraId="2A817024" w14:textId="77777777" w:rsidR="0019567E" w:rsidRPr="0019567E" w:rsidRDefault="0019567E" w:rsidP="0019567E">
      <w:pPr>
        <w:jc w:val="center"/>
        <w:rPr>
          <w:b/>
          <w:bCs/>
          <w:sz w:val="28"/>
          <w:szCs w:val="28"/>
        </w:rPr>
      </w:pPr>
    </w:p>
    <w:sectPr w:rsidR="0019567E" w:rsidRPr="0019567E">
      <w:headerReference w:type="defaul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A7223" w14:textId="77777777" w:rsidR="00072D11" w:rsidRDefault="00072D11" w:rsidP="00CB3468">
      <w:pPr>
        <w:spacing w:after="0" w:line="240" w:lineRule="auto"/>
      </w:pPr>
      <w:r>
        <w:separator/>
      </w:r>
    </w:p>
  </w:endnote>
  <w:endnote w:type="continuationSeparator" w:id="0">
    <w:p w14:paraId="1709CE9B" w14:textId="77777777" w:rsidR="00072D11" w:rsidRDefault="00072D11" w:rsidP="00CB3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326FC" w14:textId="77777777" w:rsidR="00072D11" w:rsidRDefault="00072D11" w:rsidP="00CB3468">
      <w:pPr>
        <w:spacing w:after="0" w:line="240" w:lineRule="auto"/>
      </w:pPr>
      <w:r>
        <w:separator/>
      </w:r>
    </w:p>
  </w:footnote>
  <w:footnote w:type="continuationSeparator" w:id="0">
    <w:p w14:paraId="3CE7ABE2" w14:textId="77777777" w:rsidR="00072D11" w:rsidRDefault="00072D11" w:rsidP="00CB3468">
      <w:pPr>
        <w:spacing w:after="0" w:line="240" w:lineRule="auto"/>
      </w:pPr>
      <w:r>
        <w:continuationSeparator/>
      </w:r>
    </w:p>
  </w:footnote>
  <w:footnote w:id="1">
    <w:p w14:paraId="3AB98187" w14:textId="77777777" w:rsidR="001B1B55" w:rsidRDefault="001B1B55" w:rsidP="001B1B55">
      <w:pPr>
        <w:pStyle w:val="Textonotapie"/>
        <w:rPr>
          <w:lang w:val="es-ES"/>
        </w:rPr>
      </w:pPr>
      <w:r>
        <w:rPr>
          <w:rStyle w:val="Refdenotaalpie"/>
        </w:rPr>
        <w:footnoteRef/>
      </w:r>
      <w:r>
        <w:t xml:space="preserve"> </w:t>
      </w:r>
      <w:hyperlink r:id="rId1" w:history="1">
        <w:r w:rsidRPr="00356105">
          <w:rPr>
            <w:rStyle w:val="Hipervnculo"/>
            <w:rFonts w:ascii="Arial" w:hAnsi="Arial" w:cs="Arial"/>
            <w:lang w:val="es-ES"/>
          </w:rPr>
          <w:t>mperna@eco.unca.edu.ar</w:t>
        </w:r>
      </w:hyperlink>
      <w:r w:rsidRPr="00356105">
        <w:rPr>
          <w:rFonts w:ascii="Arial" w:hAnsi="Arial" w:cs="Arial"/>
          <w:lang w:val="es-ES"/>
        </w:rPr>
        <w:t xml:space="preserve"> </w:t>
      </w:r>
    </w:p>
    <w:p w14:paraId="79AAEF7B" w14:textId="1CC75EC3" w:rsidR="001B1B55" w:rsidRPr="00356105" w:rsidRDefault="001B1B55" w:rsidP="001B1B55">
      <w:pPr>
        <w:pStyle w:val="Textonotapie"/>
        <w:rPr>
          <w:rFonts w:ascii="Arial" w:hAnsi="Arial" w:cs="Arial"/>
          <w:lang w:val="es-ES"/>
        </w:rPr>
      </w:pPr>
      <w:r>
        <w:rPr>
          <w:rFonts w:ascii="Arial" w:hAnsi="Arial" w:cs="Arial"/>
          <w:lang w:val="es-ES"/>
        </w:rPr>
        <w:t>Facultad de Ciencias Económicas y de Administración – Universidad Nacional de Catamarca</w:t>
      </w:r>
      <w:r>
        <w:rPr>
          <w:rFonts w:ascii="Arial" w:hAnsi="Arial" w:cs="Arial"/>
          <w:lang w:val="es-ES"/>
        </w:rPr>
        <w:t>.</w:t>
      </w:r>
    </w:p>
    <w:p w14:paraId="2DB240EA" w14:textId="77777777" w:rsidR="001B1B55" w:rsidRPr="0063290A" w:rsidRDefault="001B1B55" w:rsidP="001B1B55">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F9AA" w14:textId="6CD5B16C" w:rsidR="00CB3468" w:rsidRPr="00534F9E" w:rsidRDefault="00534F9E" w:rsidP="00534F9E">
    <w:pPr>
      <w:pStyle w:val="Encabezado"/>
      <w:tabs>
        <w:tab w:val="clear" w:pos="8504"/>
      </w:tabs>
      <w:ind w:left="-426" w:right="-568"/>
    </w:pPr>
    <w:r>
      <w:rPr>
        <w:noProof/>
      </w:rPr>
      <w:drawing>
        <wp:inline distT="0" distB="0" distL="0" distR="0" wp14:anchorId="5D0474CB" wp14:editId="24E2F700">
          <wp:extent cx="6219645" cy="594612"/>
          <wp:effectExtent l="0" t="0" r="0" b="0"/>
          <wp:docPr id="20494672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67215" name="Imagen 2049467215"/>
                  <pic:cNvPicPr/>
                </pic:nvPicPr>
                <pic:blipFill>
                  <a:blip r:embed="rId1">
                    <a:extLst>
                      <a:ext uri="{28A0092B-C50C-407E-A947-70E740481C1C}">
                        <a14:useLocalDpi xmlns:a14="http://schemas.microsoft.com/office/drawing/2010/main" val="0"/>
                      </a:ext>
                    </a:extLst>
                  </a:blip>
                  <a:stretch>
                    <a:fillRect/>
                  </a:stretch>
                </pic:blipFill>
                <pic:spPr>
                  <a:xfrm>
                    <a:off x="0" y="0"/>
                    <a:ext cx="6485180" cy="619998"/>
                  </a:xfrm>
                  <a:prstGeom prst="rect">
                    <a:avLst/>
                  </a:prstGeom>
                </pic:spPr>
              </pic:pic>
            </a:graphicData>
          </a:graphic>
        </wp:inline>
      </w:drawing>
    </w:r>
  </w:p>
  <w:p w14:paraId="028138E5" w14:textId="77777777" w:rsidR="00CB3468" w:rsidRDefault="00CB3468" w:rsidP="00534F9E">
    <w:pPr>
      <w:pStyle w:val="Encabezado"/>
      <w:tabs>
        <w:tab w:val="clear"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468"/>
    <w:rsid w:val="00072D11"/>
    <w:rsid w:val="0019567E"/>
    <w:rsid w:val="001B1B55"/>
    <w:rsid w:val="004E0EBF"/>
    <w:rsid w:val="00534F9E"/>
    <w:rsid w:val="00645D2B"/>
    <w:rsid w:val="009A30C5"/>
    <w:rsid w:val="00CB3468"/>
    <w:rsid w:val="00DD3911"/>
    <w:rsid w:val="00DE15C8"/>
    <w:rsid w:val="00DF6606"/>
    <w:rsid w:val="00F302AC"/>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BB35A"/>
  <w15:chartTrackingRefBased/>
  <w15:docId w15:val="{BEAD3841-B766-4739-8C21-34184682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B34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B34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B346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B346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B346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B34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B34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B34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B34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346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B346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B346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B346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B346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B34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B34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B34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B3468"/>
    <w:rPr>
      <w:rFonts w:eastAsiaTheme="majorEastAsia" w:cstheme="majorBidi"/>
      <w:color w:val="272727" w:themeColor="text1" w:themeTint="D8"/>
    </w:rPr>
  </w:style>
  <w:style w:type="paragraph" w:styleId="Ttulo">
    <w:name w:val="Title"/>
    <w:basedOn w:val="Normal"/>
    <w:next w:val="Normal"/>
    <w:link w:val="TtuloCar"/>
    <w:uiPriority w:val="10"/>
    <w:qFormat/>
    <w:rsid w:val="00CB3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B34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B34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B34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B3468"/>
    <w:pPr>
      <w:spacing w:before="160"/>
      <w:jc w:val="center"/>
    </w:pPr>
    <w:rPr>
      <w:i/>
      <w:iCs/>
      <w:color w:val="404040" w:themeColor="text1" w:themeTint="BF"/>
    </w:rPr>
  </w:style>
  <w:style w:type="character" w:customStyle="1" w:styleId="CitaCar">
    <w:name w:val="Cita Car"/>
    <w:basedOn w:val="Fuentedeprrafopredeter"/>
    <w:link w:val="Cita"/>
    <w:uiPriority w:val="29"/>
    <w:rsid w:val="00CB3468"/>
    <w:rPr>
      <w:i/>
      <w:iCs/>
      <w:color w:val="404040" w:themeColor="text1" w:themeTint="BF"/>
    </w:rPr>
  </w:style>
  <w:style w:type="paragraph" w:styleId="Prrafodelista">
    <w:name w:val="List Paragraph"/>
    <w:basedOn w:val="Normal"/>
    <w:uiPriority w:val="34"/>
    <w:qFormat/>
    <w:rsid w:val="00CB3468"/>
    <w:pPr>
      <w:ind w:left="720"/>
      <w:contextualSpacing/>
    </w:pPr>
  </w:style>
  <w:style w:type="character" w:styleId="nfasisintenso">
    <w:name w:val="Intense Emphasis"/>
    <w:basedOn w:val="Fuentedeprrafopredeter"/>
    <w:uiPriority w:val="21"/>
    <w:qFormat/>
    <w:rsid w:val="00CB3468"/>
    <w:rPr>
      <w:i/>
      <w:iCs/>
      <w:color w:val="2F5496" w:themeColor="accent1" w:themeShade="BF"/>
    </w:rPr>
  </w:style>
  <w:style w:type="paragraph" w:styleId="Citadestacada">
    <w:name w:val="Intense Quote"/>
    <w:basedOn w:val="Normal"/>
    <w:next w:val="Normal"/>
    <w:link w:val="CitadestacadaCar"/>
    <w:uiPriority w:val="30"/>
    <w:qFormat/>
    <w:rsid w:val="00CB34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B3468"/>
    <w:rPr>
      <w:i/>
      <w:iCs/>
      <w:color w:val="2F5496" w:themeColor="accent1" w:themeShade="BF"/>
    </w:rPr>
  </w:style>
  <w:style w:type="character" w:styleId="Referenciaintensa">
    <w:name w:val="Intense Reference"/>
    <w:basedOn w:val="Fuentedeprrafopredeter"/>
    <w:uiPriority w:val="32"/>
    <w:qFormat/>
    <w:rsid w:val="00CB3468"/>
    <w:rPr>
      <w:b/>
      <w:bCs/>
      <w:smallCaps/>
      <w:color w:val="2F5496" w:themeColor="accent1" w:themeShade="BF"/>
      <w:spacing w:val="5"/>
    </w:rPr>
  </w:style>
  <w:style w:type="paragraph" w:styleId="Encabezado">
    <w:name w:val="header"/>
    <w:basedOn w:val="Normal"/>
    <w:link w:val="EncabezadoCar"/>
    <w:uiPriority w:val="99"/>
    <w:unhideWhenUsed/>
    <w:rsid w:val="00CB34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B3468"/>
  </w:style>
  <w:style w:type="paragraph" w:styleId="Piedepgina">
    <w:name w:val="footer"/>
    <w:basedOn w:val="Normal"/>
    <w:link w:val="PiedepginaCar"/>
    <w:uiPriority w:val="99"/>
    <w:unhideWhenUsed/>
    <w:rsid w:val="00CB34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B3468"/>
  </w:style>
  <w:style w:type="paragraph" w:styleId="Textonotapie">
    <w:name w:val="footnote text"/>
    <w:basedOn w:val="Normal"/>
    <w:link w:val="TextonotapieCar"/>
    <w:uiPriority w:val="99"/>
    <w:semiHidden/>
    <w:unhideWhenUsed/>
    <w:rsid w:val="001B1B55"/>
    <w:pPr>
      <w:spacing w:after="0" w:line="240" w:lineRule="auto"/>
    </w:pPr>
    <w:rPr>
      <w:kern w:val="0"/>
      <w:sz w:val="20"/>
      <w:szCs w:val="20"/>
      <w:lang w:val="es-AR"/>
      <w14:ligatures w14:val="none"/>
    </w:rPr>
  </w:style>
  <w:style w:type="character" w:customStyle="1" w:styleId="TextonotapieCar">
    <w:name w:val="Texto nota pie Car"/>
    <w:basedOn w:val="Fuentedeprrafopredeter"/>
    <w:link w:val="Textonotapie"/>
    <w:uiPriority w:val="99"/>
    <w:semiHidden/>
    <w:rsid w:val="001B1B55"/>
    <w:rPr>
      <w:kern w:val="0"/>
      <w:sz w:val="20"/>
      <w:szCs w:val="20"/>
      <w:lang w:val="es-AR"/>
      <w14:ligatures w14:val="none"/>
    </w:rPr>
  </w:style>
  <w:style w:type="character" w:styleId="Refdenotaalpie">
    <w:name w:val="footnote reference"/>
    <w:basedOn w:val="Fuentedeprrafopredeter"/>
    <w:uiPriority w:val="99"/>
    <w:semiHidden/>
    <w:unhideWhenUsed/>
    <w:rsid w:val="001B1B55"/>
    <w:rPr>
      <w:vertAlign w:val="superscript"/>
    </w:rPr>
  </w:style>
  <w:style w:type="character" w:styleId="Hipervnculo">
    <w:name w:val="Hyperlink"/>
    <w:basedOn w:val="Fuentedeprrafopredeter"/>
    <w:uiPriority w:val="99"/>
    <w:unhideWhenUsed/>
    <w:rsid w:val="001B1B55"/>
    <w:rPr>
      <w:color w:val="0563C1" w:themeColor="hyperlink"/>
      <w:u w:val="single"/>
    </w:rPr>
  </w:style>
  <w:style w:type="table" w:styleId="Tablaconcuadrcula">
    <w:name w:val="Table Grid"/>
    <w:basedOn w:val="Tablanormal"/>
    <w:uiPriority w:val="39"/>
    <w:rsid w:val="001B1B55"/>
    <w:pPr>
      <w:spacing w:after="0" w:line="240" w:lineRule="auto"/>
    </w:pPr>
    <w:rPr>
      <w:kern w:val="0"/>
      <w:sz w:val="22"/>
      <w:szCs w:val="22"/>
      <w:lang w:val="es-A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435739">
      <w:bodyDiv w:val="1"/>
      <w:marLeft w:val="0"/>
      <w:marRight w:val="0"/>
      <w:marTop w:val="0"/>
      <w:marBottom w:val="0"/>
      <w:divBdr>
        <w:top w:val="none" w:sz="0" w:space="0" w:color="auto"/>
        <w:left w:val="none" w:sz="0" w:space="0" w:color="auto"/>
        <w:bottom w:val="none" w:sz="0" w:space="0" w:color="auto"/>
        <w:right w:val="none" w:sz="0" w:space="0" w:color="auto"/>
      </w:divBdr>
    </w:div>
    <w:div w:id="597177002">
      <w:bodyDiv w:val="1"/>
      <w:marLeft w:val="0"/>
      <w:marRight w:val="0"/>
      <w:marTop w:val="0"/>
      <w:marBottom w:val="0"/>
      <w:divBdr>
        <w:top w:val="none" w:sz="0" w:space="0" w:color="auto"/>
        <w:left w:val="none" w:sz="0" w:space="0" w:color="auto"/>
        <w:bottom w:val="none" w:sz="0" w:space="0" w:color="auto"/>
        <w:right w:val="none" w:sz="0" w:space="0" w:color="auto"/>
      </w:divBdr>
    </w:div>
    <w:div w:id="128584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dl.handle.net/10469/8788" TargetMode="External"/><Relationship Id="rId13" Type="http://schemas.openxmlformats.org/officeDocument/2006/relationships/hyperlink" Target="https://www.argentina.gob.ar/normativa/nacional/norma-112976/texto"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dl.handle.net/10986/40610" TargetMode="External"/><Relationship Id="rId12" Type="http://schemas.openxmlformats.org/officeDocument/2006/relationships/hyperlink" Target="https://doi.org/10.1093/qje/qjv036" TargetMode="External"/><Relationship Id="rId17" Type="http://schemas.openxmlformats.org/officeDocument/2006/relationships/hyperlink" Target="https://doi.org/10.18235/0012049" TargetMode="External"/><Relationship Id="rId2" Type="http://schemas.openxmlformats.org/officeDocument/2006/relationships/settings" Target="settings.xml"/><Relationship Id="rId16" Type="http://schemas.openxmlformats.org/officeDocument/2006/relationships/hyperlink" Target="https://www.argentina.gob.ar/educacion/evaluacion-informacion-educativa/aprender"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hdl.handle.net/10986/27264" TargetMode="External"/><Relationship Id="rId11" Type="http://schemas.openxmlformats.org/officeDocument/2006/relationships/hyperlink" Target="https://doi.org/10.1111/1468-0297.00099" TargetMode="External"/><Relationship Id="rId5" Type="http://schemas.openxmlformats.org/officeDocument/2006/relationships/endnotes" Target="endnotes.xml"/><Relationship Id="rId15" Type="http://schemas.openxmlformats.org/officeDocument/2006/relationships/hyperlink" Target="https://digesto.catamarca.gob.ar/ley/ley_detail/199" TargetMode="External"/><Relationship Id="rId10" Type="http://schemas.openxmlformats.org/officeDocument/2006/relationships/hyperlink" Target="https://digesto.catamarca.gob.ar/decreto/decreto_detail/4176"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cepal.org/es/publicaciones/82515-sostenibilidad-financiera-equidad-eficiencia-la-inversion-educativa-como" TargetMode="External"/><Relationship Id="rId14" Type="http://schemas.openxmlformats.org/officeDocument/2006/relationships/hyperlink" Target="https://servicios.infoleg.gob.ar/infolegInternet/anexos/120000-124999/123542/norma.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mperna@eco.unca.edu.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9944</Words>
  <Characters>54695</Characters>
  <Application>Microsoft Office Word</Application>
  <DocSecurity>0</DocSecurity>
  <Lines>455</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marioalbertoperna</dc:creator>
  <cp:keywords/>
  <dc:description/>
  <cp:lastModifiedBy>Mario Alberto Perna</cp:lastModifiedBy>
  <cp:revision>2</cp:revision>
  <dcterms:created xsi:type="dcterms:W3CDTF">2026-09-17T18:50:00Z</dcterms:created>
  <dcterms:modified xsi:type="dcterms:W3CDTF">2026-09-17T18:50:00Z</dcterms:modified>
</cp:coreProperties>
</file>